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0F" w:rsidRPr="00C84506" w:rsidRDefault="0023371F" w:rsidP="0097050F">
      <w:pPr>
        <w:jc w:val="right"/>
        <w:rPr>
          <w:sz w:val="28"/>
        </w:rPr>
      </w:pPr>
      <w:r w:rsidRPr="00C84506">
        <w:rPr>
          <w:sz w:val="28"/>
        </w:rPr>
        <w:t xml:space="preserve"> </w:t>
      </w:r>
      <w:r w:rsidR="002957C8" w:rsidRPr="00C84506">
        <w:rPr>
          <w:sz w:val="28"/>
        </w:rPr>
        <w:t xml:space="preserve"> </w:t>
      </w:r>
      <w:r w:rsidR="00C84506" w:rsidRPr="00C84506">
        <w:rPr>
          <w:sz w:val="28"/>
        </w:rPr>
        <w:t>Приложение</w:t>
      </w:r>
      <w:r w:rsidR="00C67286" w:rsidRPr="00C84506">
        <w:rPr>
          <w:sz w:val="28"/>
        </w:rPr>
        <w:t xml:space="preserve"> 5</w:t>
      </w:r>
    </w:p>
    <w:p w:rsidR="0097050F" w:rsidRPr="0097050F" w:rsidRDefault="0097050F" w:rsidP="0097050F">
      <w:pPr>
        <w:jc w:val="right"/>
        <w:rPr>
          <w:sz w:val="28"/>
          <w:szCs w:val="28"/>
        </w:rPr>
      </w:pPr>
    </w:p>
    <w:p w:rsidR="0097050F" w:rsidRPr="003442DC" w:rsidRDefault="0097050F" w:rsidP="0097050F">
      <w:pPr>
        <w:jc w:val="center"/>
        <w:rPr>
          <w:b/>
          <w:sz w:val="28"/>
          <w:szCs w:val="28"/>
        </w:rPr>
      </w:pPr>
      <w:r w:rsidRPr="003442DC">
        <w:rPr>
          <w:b/>
          <w:sz w:val="28"/>
          <w:szCs w:val="28"/>
        </w:rPr>
        <w:t>Информация</w:t>
      </w:r>
    </w:p>
    <w:p w:rsidR="0097050F" w:rsidRPr="003442DC" w:rsidRDefault="0097050F" w:rsidP="0097050F">
      <w:pPr>
        <w:jc w:val="center"/>
        <w:rPr>
          <w:b/>
          <w:sz w:val="28"/>
          <w:szCs w:val="28"/>
        </w:rPr>
      </w:pPr>
      <w:r w:rsidRPr="003442DC">
        <w:rPr>
          <w:b/>
          <w:sz w:val="28"/>
          <w:szCs w:val="28"/>
        </w:rPr>
        <w:t xml:space="preserve">о расходах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w:t>
      </w:r>
      <w:r w:rsidR="00C5167E">
        <w:rPr>
          <w:b/>
          <w:sz w:val="28"/>
          <w:szCs w:val="28"/>
        </w:rPr>
        <w:t>программы Курской области по оказанию содействия добровольному переселению в Российскую Федерацию соотечественников, проживающих за рубежом за 202</w:t>
      </w:r>
      <w:r w:rsidR="00F93094">
        <w:rPr>
          <w:b/>
          <w:sz w:val="28"/>
          <w:szCs w:val="28"/>
        </w:rPr>
        <w:t>1</w:t>
      </w:r>
      <w:r w:rsidRPr="003442DC">
        <w:rPr>
          <w:b/>
          <w:sz w:val="28"/>
          <w:szCs w:val="28"/>
        </w:rPr>
        <w:t xml:space="preserve"> год</w:t>
      </w:r>
    </w:p>
    <w:p w:rsidR="0097050F" w:rsidRDefault="0097050F" w:rsidP="0097050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402"/>
        <w:gridCol w:w="3969"/>
        <w:gridCol w:w="2410"/>
        <w:gridCol w:w="2629"/>
      </w:tblGrid>
      <w:tr w:rsidR="0097050F" w:rsidRPr="0032699D" w:rsidTr="00201661">
        <w:trPr>
          <w:trHeight w:val="1990"/>
        </w:trPr>
        <w:tc>
          <w:tcPr>
            <w:tcW w:w="2376" w:type="dxa"/>
            <w:shd w:val="clear" w:color="auto" w:fill="auto"/>
            <w:vAlign w:val="center"/>
          </w:tcPr>
          <w:p w:rsidR="0097050F" w:rsidRPr="007C72C7" w:rsidRDefault="0097050F" w:rsidP="00201661">
            <w:pPr>
              <w:jc w:val="center"/>
            </w:pPr>
            <w:r w:rsidRPr="007C72C7">
              <w:t>Статус</w:t>
            </w:r>
          </w:p>
        </w:tc>
        <w:tc>
          <w:tcPr>
            <w:tcW w:w="3402" w:type="dxa"/>
            <w:shd w:val="clear" w:color="auto" w:fill="auto"/>
            <w:vAlign w:val="center"/>
          </w:tcPr>
          <w:p w:rsidR="0097050F" w:rsidRPr="007C72C7" w:rsidRDefault="0097050F" w:rsidP="00201661">
            <w:pPr>
              <w:jc w:val="center"/>
            </w:pPr>
            <w:r w:rsidRPr="007C72C7">
              <w:t>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3969" w:type="dxa"/>
            <w:shd w:val="clear" w:color="auto" w:fill="auto"/>
            <w:vAlign w:val="center"/>
          </w:tcPr>
          <w:p w:rsidR="0097050F" w:rsidRPr="007C72C7" w:rsidRDefault="0097050F" w:rsidP="00201661">
            <w:pPr>
              <w:jc w:val="center"/>
            </w:pPr>
            <w:r w:rsidRPr="007C72C7">
              <w:t>Источники ресурсного обеспечения</w:t>
            </w:r>
          </w:p>
        </w:tc>
        <w:tc>
          <w:tcPr>
            <w:tcW w:w="2410" w:type="dxa"/>
            <w:shd w:val="clear" w:color="auto" w:fill="auto"/>
            <w:vAlign w:val="center"/>
          </w:tcPr>
          <w:p w:rsidR="00201661" w:rsidRDefault="0097050F" w:rsidP="00201661">
            <w:pPr>
              <w:jc w:val="center"/>
            </w:pPr>
            <w:r w:rsidRPr="0002155A">
              <w:t>Оценка расходов,</w:t>
            </w:r>
          </w:p>
          <w:p w:rsidR="0097050F" w:rsidRPr="0002155A" w:rsidRDefault="0097050F" w:rsidP="00201661">
            <w:pPr>
              <w:jc w:val="center"/>
            </w:pPr>
            <w:r w:rsidRPr="0002155A">
              <w:t>тыс. руб.</w:t>
            </w:r>
          </w:p>
        </w:tc>
        <w:tc>
          <w:tcPr>
            <w:tcW w:w="2629" w:type="dxa"/>
            <w:shd w:val="clear" w:color="auto" w:fill="auto"/>
            <w:vAlign w:val="center"/>
          </w:tcPr>
          <w:p w:rsidR="00201661" w:rsidRDefault="0097050F" w:rsidP="00201661">
            <w:pPr>
              <w:jc w:val="center"/>
            </w:pPr>
            <w:r w:rsidRPr="007C72C7">
              <w:t>Фактические расходы,</w:t>
            </w:r>
          </w:p>
          <w:p w:rsidR="0097050F" w:rsidRPr="007C72C7" w:rsidRDefault="0097050F" w:rsidP="00201661">
            <w:pPr>
              <w:jc w:val="center"/>
            </w:pPr>
            <w:r w:rsidRPr="007C72C7">
              <w:t>тыс. руб.</w:t>
            </w:r>
          </w:p>
        </w:tc>
      </w:tr>
      <w:tr w:rsidR="00201661" w:rsidRPr="0032699D" w:rsidTr="00201661">
        <w:tc>
          <w:tcPr>
            <w:tcW w:w="2376" w:type="dxa"/>
            <w:vMerge w:val="restart"/>
            <w:shd w:val="clear" w:color="auto" w:fill="auto"/>
          </w:tcPr>
          <w:p w:rsidR="00201661" w:rsidRPr="00E2645B" w:rsidRDefault="00201661" w:rsidP="00201661">
            <w:pPr>
              <w:widowControl w:val="0"/>
              <w:tabs>
                <w:tab w:val="left" w:pos="2775"/>
              </w:tabs>
              <w:suppressAutoHyphens/>
              <w:snapToGrid w:val="0"/>
              <w:rPr>
                <w:kern w:val="2"/>
                <w:lang w:eastAsia="hi-IN" w:bidi="hi-IN"/>
              </w:rPr>
            </w:pPr>
            <w:r w:rsidRPr="00E2645B">
              <w:rPr>
                <w:kern w:val="2"/>
                <w:lang w:eastAsia="hi-IN" w:bidi="hi-IN"/>
              </w:rPr>
              <w:t>Государственная программа</w:t>
            </w:r>
          </w:p>
        </w:tc>
        <w:tc>
          <w:tcPr>
            <w:tcW w:w="3402" w:type="dxa"/>
            <w:vMerge w:val="restart"/>
            <w:shd w:val="clear" w:color="auto" w:fill="auto"/>
          </w:tcPr>
          <w:p w:rsidR="00201661" w:rsidRPr="00E2645B" w:rsidRDefault="00201661" w:rsidP="007768C5">
            <w:pPr>
              <w:widowControl w:val="0"/>
              <w:suppressAutoHyphens/>
              <w:snapToGrid w:val="0"/>
              <w:rPr>
                <w:kern w:val="2"/>
                <w:lang w:eastAsia="hi-IN" w:bidi="hi-IN"/>
              </w:rPr>
            </w:pPr>
            <w:r>
              <w:rPr>
                <w:kern w:val="2"/>
                <w:lang w:eastAsia="hi-IN" w:bidi="hi-IN"/>
              </w:rPr>
              <w:t xml:space="preserve">Программа Курской области по оказанию содействия добровольному переселению в Российскую Федерацию соотечественников, проживающих за рубежом </w:t>
            </w:r>
          </w:p>
          <w:p w:rsidR="00201661" w:rsidRPr="00E2645B" w:rsidRDefault="00201661" w:rsidP="00DB14C6">
            <w:pPr>
              <w:widowControl w:val="0"/>
              <w:tabs>
                <w:tab w:val="left" w:pos="2775"/>
              </w:tabs>
              <w:suppressAutoHyphens/>
              <w:snapToGrid w:val="0"/>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всего</w:t>
            </w:r>
          </w:p>
        </w:tc>
        <w:tc>
          <w:tcPr>
            <w:tcW w:w="2410" w:type="dxa"/>
            <w:shd w:val="clear" w:color="auto" w:fill="auto"/>
          </w:tcPr>
          <w:p w:rsidR="00201661" w:rsidRPr="00092E3A" w:rsidRDefault="00201661" w:rsidP="00FC3E87">
            <w:pPr>
              <w:jc w:val="center"/>
              <w:rPr>
                <w:sz w:val="22"/>
              </w:rPr>
            </w:pPr>
            <w:r w:rsidRPr="00092E3A">
              <w:rPr>
                <w:sz w:val="22"/>
              </w:rPr>
              <w:t>4</w:t>
            </w:r>
            <w:r w:rsidR="00FC3E87">
              <w:rPr>
                <w:sz w:val="22"/>
              </w:rPr>
              <w:t>380</w:t>
            </w:r>
            <w:r w:rsidRPr="00092E3A">
              <w:rPr>
                <w:sz w:val="22"/>
              </w:rPr>
              <w:t>,000</w:t>
            </w:r>
          </w:p>
        </w:tc>
        <w:tc>
          <w:tcPr>
            <w:tcW w:w="2629" w:type="dxa"/>
            <w:shd w:val="clear" w:color="auto" w:fill="auto"/>
          </w:tcPr>
          <w:p w:rsidR="00201661" w:rsidRPr="00092E3A" w:rsidRDefault="00201661" w:rsidP="00FC3E87">
            <w:pPr>
              <w:jc w:val="center"/>
              <w:rPr>
                <w:sz w:val="22"/>
              </w:rPr>
            </w:pPr>
            <w:r w:rsidRPr="00092E3A">
              <w:rPr>
                <w:sz w:val="22"/>
              </w:rPr>
              <w:t>4</w:t>
            </w:r>
            <w:r w:rsidR="00FC3E87">
              <w:rPr>
                <w:sz w:val="22"/>
              </w:rPr>
              <w:t>379</w:t>
            </w:r>
            <w:r w:rsidRPr="00092E3A">
              <w:rPr>
                <w:sz w:val="22"/>
              </w:rPr>
              <w:t>,000</w:t>
            </w:r>
          </w:p>
        </w:tc>
      </w:tr>
      <w:tr w:rsidR="00201661" w:rsidRPr="0032699D" w:rsidTr="00201661">
        <w:tc>
          <w:tcPr>
            <w:tcW w:w="2376" w:type="dxa"/>
            <w:vMerge/>
            <w:shd w:val="clear" w:color="auto" w:fill="auto"/>
            <w:vAlign w:val="center"/>
          </w:tcPr>
          <w:p w:rsidR="00201661" w:rsidRPr="00E2645B" w:rsidRDefault="00201661" w:rsidP="00201661">
            <w:pPr>
              <w:rPr>
                <w:kern w:val="2"/>
                <w:lang w:eastAsia="hi-IN" w:bidi="hi-IN"/>
              </w:rPr>
            </w:pPr>
          </w:p>
        </w:tc>
        <w:tc>
          <w:tcPr>
            <w:tcW w:w="3402" w:type="dxa"/>
            <w:vMerge/>
            <w:shd w:val="clear" w:color="auto" w:fill="auto"/>
            <w:vAlign w:val="center"/>
          </w:tcPr>
          <w:p w:rsidR="00201661" w:rsidRPr="00E2645B" w:rsidRDefault="00201661" w:rsidP="00DB14C6">
            <w:pPr>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федеральный бюджет</w:t>
            </w:r>
          </w:p>
        </w:tc>
        <w:tc>
          <w:tcPr>
            <w:tcW w:w="2410" w:type="dxa"/>
            <w:shd w:val="clear" w:color="auto" w:fill="auto"/>
          </w:tcPr>
          <w:p w:rsidR="00201661" w:rsidRPr="00092E3A" w:rsidRDefault="00FC3E87" w:rsidP="00CE68DD">
            <w:pPr>
              <w:jc w:val="center"/>
              <w:rPr>
                <w:sz w:val="22"/>
              </w:rPr>
            </w:pPr>
            <w:r>
              <w:rPr>
                <w:sz w:val="22"/>
              </w:rPr>
              <w:t>3810</w:t>
            </w:r>
            <w:r w:rsidR="009550B6">
              <w:rPr>
                <w:sz w:val="22"/>
              </w:rPr>
              <w:t>,6</w:t>
            </w:r>
            <w:r w:rsidR="00201661" w:rsidRPr="00092E3A">
              <w:rPr>
                <w:sz w:val="22"/>
              </w:rPr>
              <w:t>00</w:t>
            </w:r>
          </w:p>
        </w:tc>
        <w:tc>
          <w:tcPr>
            <w:tcW w:w="2629" w:type="dxa"/>
            <w:shd w:val="clear" w:color="auto" w:fill="auto"/>
          </w:tcPr>
          <w:p w:rsidR="00201661" w:rsidRPr="00092E3A" w:rsidRDefault="00FC3E87" w:rsidP="00FC3E87">
            <w:pPr>
              <w:jc w:val="center"/>
              <w:rPr>
                <w:sz w:val="22"/>
              </w:rPr>
            </w:pPr>
            <w:r>
              <w:rPr>
                <w:sz w:val="22"/>
              </w:rPr>
              <w:t>3809,73</w:t>
            </w:r>
            <w:r w:rsidR="00201661" w:rsidRPr="00092E3A">
              <w:rPr>
                <w:sz w:val="22"/>
              </w:rPr>
              <w:t>0</w:t>
            </w:r>
          </w:p>
        </w:tc>
      </w:tr>
      <w:tr w:rsidR="00201661" w:rsidRPr="0032699D" w:rsidTr="00201661">
        <w:tc>
          <w:tcPr>
            <w:tcW w:w="2376" w:type="dxa"/>
            <w:vMerge/>
            <w:shd w:val="clear" w:color="auto" w:fill="auto"/>
            <w:vAlign w:val="center"/>
          </w:tcPr>
          <w:p w:rsidR="00201661" w:rsidRPr="00E2645B" w:rsidRDefault="00201661" w:rsidP="00201661">
            <w:pPr>
              <w:rPr>
                <w:kern w:val="2"/>
                <w:lang w:eastAsia="hi-IN" w:bidi="hi-IN"/>
              </w:rPr>
            </w:pPr>
          </w:p>
        </w:tc>
        <w:tc>
          <w:tcPr>
            <w:tcW w:w="3402" w:type="dxa"/>
            <w:vMerge/>
            <w:shd w:val="clear" w:color="auto" w:fill="auto"/>
            <w:vAlign w:val="center"/>
          </w:tcPr>
          <w:p w:rsidR="00201661" w:rsidRPr="00E2645B" w:rsidRDefault="00201661" w:rsidP="00DB14C6">
            <w:pPr>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областной бюджет</w:t>
            </w:r>
          </w:p>
        </w:tc>
        <w:tc>
          <w:tcPr>
            <w:tcW w:w="2410" w:type="dxa"/>
            <w:shd w:val="clear" w:color="auto" w:fill="auto"/>
          </w:tcPr>
          <w:p w:rsidR="00201661" w:rsidRPr="00092E3A" w:rsidRDefault="00201661" w:rsidP="00FC3E87">
            <w:pPr>
              <w:jc w:val="center"/>
              <w:rPr>
                <w:sz w:val="22"/>
              </w:rPr>
            </w:pPr>
            <w:r w:rsidRPr="00092E3A">
              <w:rPr>
                <w:sz w:val="22"/>
              </w:rPr>
              <w:t>5</w:t>
            </w:r>
            <w:r w:rsidR="00FC3E87">
              <w:rPr>
                <w:sz w:val="22"/>
              </w:rPr>
              <w:t>69</w:t>
            </w:r>
            <w:r w:rsidRPr="00092E3A">
              <w:rPr>
                <w:sz w:val="22"/>
              </w:rPr>
              <w:t>,</w:t>
            </w:r>
            <w:r w:rsidR="00FC3E87">
              <w:rPr>
                <w:sz w:val="22"/>
              </w:rPr>
              <w:t>4</w:t>
            </w:r>
            <w:r w:rsidRPr="00092E3A">
              <w:rPr>
                <w:sz w:val="22"/>
              </w:rPr>
              <w:t>00</w:t>
            </w:r>
          </w:p>
        </w:tc>
        <w:tc>
          <w:tcPr>
            <w:tcW w:w="2629" w:type="dxa"/>
            <w:shd w:val="clear" w:color="auto" w:fill="auto"/>
          </w:tcPr>
          <w:p w:rsidR="00201661" w:rsidRPr="00092E3A" w:rsidRDefault="00201661" w:rsidP="00FC3E87">
            <w:pPr>
              <w:jc w:val="center"/>
              <w:rPr>
                <w:sz w:val="22"/>
              </w:rPr>
            </w:pPr>
            <w:r w:rsidRPr="00092E3A">
              <w:rPr>
                <w:sz w:val="22"/>
              </w:rPr>
              <w:t>5</w:t>
            </w:r>
            <w:r w:rsidR="00FC3E87">
              <w:rPr>
                <w:sz w:val="22"/>
              </w:rPr>
              <w:t>69</w:t>
            </w:r>
            <w:r w:rsidRPr="00092E3A">
              <w:rPr>
                <w:sz w:val="22"/>
              </w:rPr>
              <w:t>,</w:t>
            </w:r>
            <w:r w:rsidR="00FC3E87">
              <w:rPr>
                <w:sz w:val="22"/>
              </w:rPr>
              <w:t>27</w:t>
            </w:r>
            <w:r w:rsidRPr="00092E3A">
              <w:rPr>
                <w:sz w:val="22"/>
              </w:rPr>
              <w:t>0</w:t>
            </w:r>
          </w:p>
        </w:tc>
      </w:tr>
      <w:tr w:rsidR="00201661" w:rsidRPr="0032699D" w:rsidTr="00201661">
        <w:tc>
          <w:tcPr>
            <w:tcW w:w="2376" w:type="dxa"/>
            <w:vMerge/>
            <w:shd w:val="clear" w:color="auto" w:fill="auto"/>
            <w:vAlign w:val="center"/>
          </w:tcPr>
          <w:p w:rsidR="00201661" w:rsidRPr="00E2645B" w:rsidRDefault="00201661" w:rsidP="00201661">
            <w:pPr>
              <w:rPr>
                <w:kern w:val="2"/>
                <w:lang w:eastAsia="hi-IN" w:bidi="hi-IN"/>
              </w:rPr>
            </w:pPr>
          </w:p>
        </w:tc>
        <w:tc>
          <w:tcPr>
            <w:tcW w:w="3402" w:type="dxa"/>
            <w:vMerge/>
            <w:shd w:val="clear" w:color="auto" w:fill="auto"/>
            <w:vAlign w:val="center"/>
          </w:tcPr>
          <w:p w:rsidR="00201661" w:rsidRPr="00E2645B" w:rsidRDefault="00201661" w:rsidP="00DB14C6">
            <w:pPr>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местные бюджеты</w:t>
            </w:r>
          </w:p>
        </w:tc>
        <w:tc>
          <w:tcPr>
            <w:tcW w:w="2410" w:type="dxa"/>
            <w:shd w:val="clear" w:color="auto" w:fill="auto"/>
          </w:tcPr>
          <w:p w:rsidR="00201661" w:rsidRPr="0002155A" w:rsidRDefault="00201661" w:rsidP="0002155A">
            <w:pPr>
              <w:widowControl w:val="0"/>
              <w:autoSpaceDE w:val="0"/>
              <w:autoSpaceDN w:val="0"/>
              <w:adjustRightInd w:val="0"/>
              <w:jc w:val="center"/>
              <w:rPr>
                <w:color w:val="000000"/>
              </w:rPr>
            </w:pPr>
            <w:r>
              <w:rPr>
                <w:color w:val="000000"/>
              </w:rPr>
              <w:t>-</w:t>
            </w:r>
          </w:p>
        </w:tc>
        <w:tc>
          <w:tcPr>
            <w:tcW w:w="2629" w:type="dxa"/>
            <w:shd w:val="clear" w:color="auto" w:fill="auto"/>
          </w:tcPr>
          <w:p w:rsidR="00201661" w:rsidRPr="007C72C7" w:rsidRDefault="00201661" w:rsidP="0023371F">
            <w:pPr>
              <w:jc w:val="center"/>
            </w:pPr>
            <w:r>
              <w:t>-</w:t>
            </w:r>
          </w:p>
        </w:tc>
      </w:tr>
      <w:tr w:rsidR="00201661" w:rsidRPr="0032699D" w:rsidTr="00201661">
        <w:tc>
          <w:tcPr>
            <w:tcW w:w="2376" w:type="dxa"/>
            <w:vMerge/>
            <w:shd w:val="clear" w:color="auto" w:fill="auto"/>
            <w:vAlign w:val="center"/>
          </w:tcPr>
          <w:p w:rsidR="00201661" w:rsidRPr="00E2645B" w:rsidRDefault="00201661" w:rsidP="00201661">
            <w:pPr>
              <w:rPr>
                <w:kern w:val="2"/>
                <w:lang w:eastAsia="hi-IN" w:bidi="hi-IN"/>
              </w:rPr>
            </w:pPr>
          </w:p>
        </w:tc>
        <w:tc>
          <w:tcPr>
            <w:tcW w:w="3402" w:type="dxa"/>
            <w:vMerge/>
            <w:shd w:val="clear" w:color="auto" w:fill="auto"/>
            <w:vAlign w:val="center"/>
          </w:tcPr>
          <w:p w:rsidR="00201661" w:rsidRPr="00E2645B" w:rsidRDefault="00201661" w:rsidP="00DB14C6">
            <w:pPr>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государственные внебюджетные фонды Российской Федерации</w:t>
            </w:r>
          </w:p>
        </w:tc>
        <w:tc>
          <w:tcPr>
            <w:tcW w:w="2410" w:type="dxa"/>
            <w:shd w:val="clear" w:color="auto" w:fill="auto"/>
          </w:tcPr>
          <w:p w:rsidR="00201661" w:rsidRPr="0002155A" w:rsidRDefault="00201661" w:rsidP="0002155A">
            <w:pPr>
              <w:widowControl w:val="0"/>
              <w:autoSpaceDE w:val="0"/>
              <w:autoSpaceDN w:val="0"/>
              <w:adjustRightInd w:val="0"/>
              <w:jc w:val="center"/>
              <w:rPr>
                <w:color w:val="000000"/>
              </w:rPr>
            </w:pPr>
            <w:r>
              <w:rPr>
                <w:color w:val="000000"/>
              </w:rPr>
              <w:t>-</w:t>
            </w:r>
          </w:p>
        </w:tc>
        <w:tc>
          <w:tcPr>
            <w:tcW w:w="2629" w:type="dxa"/>
            <w:shd w:val="clear" w:color="auto" w:fill="auto"/>
          </w:tcPr>
          <w:p w:rsidR="00201661" w:rsidRPr="007C72C7" w:rsidRDefault="00201661" w:rsidP="00680548">
            <w:pPr>
              <w:widowControl w:val="0"/>
              <w:suppressAutoHyphens/>
              <w:snapToGrid w:val="0"/>
              <w:jc w:val="center"/>
              <w:rPr>
                <w:kern w:val="2"/>
                <w:lang w:eastAsia="hi-IN" w:bidi="hi-IN"/>
              </w:rPr>
            </w:pPr>
            <w:r>
              <w:rPr>
                <w:kern w:val="2"/>
                <w:lang w:eastAsia="hi-IN" w:bidi="hi-IN"/>
              </w:rPr>
              <w:t>-</w:t>
            </w:r>
          </w:p>
        </w:tc>
      </w:tr>
      <w:tr w:rsidR="00201661" w:rsidRPr="0032699D" w:rsidTr="00201661">
        <w:trPr>
          <w:trHeight w:val="598"/>
        </w:trPr>
        <w:tc>
          <w:tcPr>
            <w:tcW w:w="2376" w:type="dxa"/>
            <w:vMerge/>
            <w:shd w:val="clear" w:color="auto" w:fill="auto"/>
            <w:vAlign w:val="center"/>
          </w:tcPr>
          <w:p w:rsidR="00201661" w:rsidRPr="00E2645B" w:rsidRDefault="00201661" w:rsidP="00201661">
            <w:pPr>
              <w:rPr>
                <w:kern w:val="2"/>
                <w:lang w:eastAsia="hi-IN" w:bidi="hi-IN"/>
              </w:rPr>
            </w:pPr>
          </w:p>
        </w:tc>
        <w:tc>
          <w:tcPr>
            <w:tcW w:w="3402" w:type="dxa"/>
            <w:vMerge/>
            <w:shd w:val="clear" w:color="auto" w:fill="auto"/>
            <w:vAlign w:val="center"/>
          </w:tcPr>
          <w:p w:rsidR="00201661" w:rsidRPr="00E2645B" w:rsidRDefault="00201661" w:rsidP="00DB14C6">
            <w:pPr>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территориальные  государственные внебюджетные фонды</w:t>
            </w:r>
          </w:p>
        </w:tc>
        <w:tc>
          <w:tcPr>
            <w:tcW w:w="2410" w:type="dxa"/>
            <w:shd w:val="clear" w:color="auto" w:fill="auto"/>
          </w:tcPr>
          <w:p w:rsidR="00201661" w:rsidRPr="0002155A" w:rsidRDefault="00201661" w:rsidP="0002155A">
            <w:pPr>
              <w:widowControl w:val="0"/>
              <w:autoSpaceDE w:val="0"/>
              <w:autoSpaceDN w:val="0"/>
              <w:adjustRightInd w:val="0"/>
              <w:jc w:val="center"/>
              <w:rPr>
                <w:color w:val="000000"/>
              </w:rPr>
            </w:pPr>
            <w:r>
              <w:rPr>
                <w:color w:val="000000"/>
              </w:rPr>
              <w:t>-</w:t>
            </w:r>
          </w:p>
        </w:tc>
        <w:tc>
          <w:tcPr>
            <w:tcW w:w="2629" w:type="dxa"/>
            <w:shd w:val="clear" w:color="auto" w:fill="auto"/>
          </w:tcPr>
          <w:p w:rsidR="00201661" w:rsidRPr="007C72C7" w:rsidRDefault="00201661" w:rsidP="00680548">
            <w:pPr>
              <w:widowControl w:val="0"/>
              <w:suppressAutoHyphens/>
              <w:snapToGrid w:val="0"/>
              <w:jc w:val="center"/>
              <w:rPr>
                <w:kern w:val="2"/>
                <w:lang w:eastAsia="hi-IN" w:bidi="hi-IN"/>
              </w:rPr>
            </w:pPr>
            <w:r>
              <w:rPr>
                <w:kern w:val="2"/>
                <w:lang w:eastAsia="hi-IN" w:bidi="hi-IN"/>
              </w:rPr>
              <w:t>-</w:t>
            </w:r>
          </w:p>
        </w:tc>
      </w:tr>
      <w:tr w:rsidR="00201661" w:rsidRPr="0032699D" w:rsidTr="00201661">
        <w:tc>
          <w:tcPr>
            <w:tcW w:w="2376" w:type="dxa"/>
            <w:vMerge/>
            <w:shd w:val="clear" w:color="auto" w:fill="auto"/>
            <w:vAlign w:val="center"/>
          </w:tcPr>
          <w:p w:rsidR="00201661" w:rsidRPr="00E2645B" w:rsidRDefault="00201661" w:rsidP="00201661">
            <w:pPr>
              <w:rPr>
                <w:kern w:val="2"/>
                <w:lang w:eastAsia="hi-IN" w:bidi="hi-IN"/>
              </w:rPr>
            </w:pPr>
          </w:p>
        </w:tc>
        <w:tc>
          <w:tcPr>
            <w:tcW w:w="3402" w:type="dxa"/>
            <w:vMerge/>
            <w:shd w:val="clear" w:color="auto" w:fill="auto"/>
            <w:vAlign w:val="center"/>
          </w:tcPr>
          <w:p w:rsidR="00201661" w:rsidRPr="00E2645B" w:rsidRDefault="00201661" w:rsidP="00DB14C6">
            <w:pPr>
              <w:jc w:val="center"/>
              <w:rPr>
                <w:kern w:val="2"/>
                <w:lang w:eastAsia="hi-IN" w:bidi="hi-IN"/>
              </w:rPr>
            </w:pPr>
          </w:p>
        </w:tc>
        <w:tc>
          <w:tcPr>
            <w:tcW w:w="3969" w:type="dxa"/>
            <w:shd w:val="clear" w:color="auto" w:fill="auto"/>
          </w:tcPr>
          <w:p w:rsidR="00201661" w:rsidRPr="007C72C7" w:rsidRDefault="00201661" w:rsidP="00DC4A93">
            <w:pPr>
              <w:widowControl w:val="0"/>
              <w:tabs>
                <w:tab w:val="left" w:pos="2775"/>
              </w:tabs>
              <w:suppressAutoHyphens/>
              <w:snapToGrid w:val="0"/>
              <w:rPr>
                <w:kern w:val="2"/>
                <w:lang w:eastAsia="hi-IN" w:bidi="hi-IN"/>
              </w:rPr>
            </w:pPr>
            <w:r w:rsidRPr="007C72C7">
              <w:rPr>
                <w:kern w:val="2"/>
                <w:lang w:eastAsia="hi-IN" w:bidi="hi-IN"/>
              </w:rPr>
              <w:t>внебюджетные источники</w:t>
            </w:r>
          </w:p>
        </w:tc>
        <w:tc>
          <w:tcPr>
            <w:tcW w:w="2410" w:type="dxa"/>
            <w:shd w:val="clear" w:color="auto" w:fill="auto"/>
          </w:tcPr>
          <w:p w:rsidR="00201661" w:rsidRPr="0002155A" w:rsidRDefault="00201661" w:rsidP="0002155A">
            <w:pPr>
              <w:widowControl w:val="0"/>
              <w:autoSpaceDE w:val="0"/>
              <w:autoSpaceDN w:val="0"/>
              <w:adjustRightInd w:val="0"/>
              <w:jc w:val="center"/>
            </w:pPr>
            <w:r>
              <w:t>-</w:t>
            </w:r>
          </w:p>
        </w:tc>
        <w:tc>
          <w:tcPr>
            <w:tcW w:w="2629" w:type="dxa"/>
            <w:shd w:val="clear" w:color="auto" w:fill="auto"/>
          </w:tcPr>
          <w:p w:rsidR="00201661" w:rsidRPr="007C72C7" w:rsidRDefault="00201661" w:rsidP="0023371F">
            <w:pPr>
              <w:jc w:val="center"/>
            </w:pPr>
            <w:r>
              <w:t>-</w:t>
            </w:r>
          </w:p>
        </w:tc>
      </w:tr>
      <w:tr w:rsidR="00FC3E87" w:rsidRPr="0032699D" w:rsidTr="00201661">
        <w:tc>
          <w:tcPr>
            <w:tcW w:w="2376" w:type="dxa"/>
            <w:vMerge w:val="restart"/>
            <w:shd w:val="clear" w:color="auto" w:fill="auto"/>
          </w:tcPr>
          <w:p w:rsidR="00FC3E87" w:rsidRPr="00092E3A" w:rsidRDefault="00FC3E87" w:rsidP="00CE68DD">
            <w:pPr>
              <w:rPr>
                <w:sz w:val="22"/>
              </w:rPr>
            </w:pPr>
            <w:r w:rsidRPr="00092E3A">
              <w:rPr>
                <w:sz w:val="22"/>
              </w:rPr>
              <w:t>Основное мероприятие 01</w:t>
            </w:r>
          </w:p>
        </w:tc>
        <w:tc>
          <w:tcPr>
            <w:tcW w:w="3402" w:type="dxa"/>
            <w:vMerge w:val="restart"/>
            <w:shd w:val="clear" w:color="auto" w:fill="auto"/>
          </w:tcPr>
          <w:p w:rsidR="00FC3E87" w:rsidRDefault="00FC3E87" w:rsidP="00CE68DD">
            <w:pPr>
              <w:rPr>
                <w:sz w:val="22"/>
              </w:rPr>
            </w:pPr>
            <w:r w:rsidRPr="00092E3A">
              <w:rPr>
                <w:sz w:val="22"/>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 в том числе</w:t>
            </w:r>
            <w:r>
              <w:rPr>
                <w:sz w:val="22"/>
              </w:rPr>
              <w:t>:</w:t>
            </w:r>
          </w:p>
          <w:p w:rsidR="00FC3E87" w:rsidRDefault="00FC3E87" w:rsidP="00CE68DD">
            <w:pPr>
              <w:rPr>
                <w:sz w:val="22"/>
              </w:rPr>
            </w:pPr>
          </w:p>
          <w:p w:rsidR="00FC3E87" w:rsidRPr="00092E3A" w:rsidRDefault="00FC3E87" w:rsidP="00CE68DD">
            <w:pPr>
              <w:rPr>
                <w:sz w:val="22"/>
              </w:rP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всего</w:t>
            </w:r>
          </w:p>
        </w:tc>
        <w:tc>
          <w:tcPr>
            <w:tcW w:w="2410" w:type="dxa"/>
            <w:shd w:val="clear" w:color="auto" w:fill="auto"/>
          </w:tcPr>
          <w:p w:rsidR="00FC3E87" w:rsidRPr="00092E3A" w:rsidRDefault="00FC3E87" w:rsidP="00CD750E">
            <w:pPr>
              <w:jc w:val="center"/>
              <w:rPr>
                <w:sz w:val="22"/>
              </w:rPr>
            </w:pPr>
            <w:r w:rsidRPr="00092E3A">
              <w:rPr>
                <w:sz w:val="22"/>
              </w:rPr>
              <w:t>4</w:t>
            </w:r>
            <w:r>
              <w:rPr>
                <w:sz w:val="22"/>
              </w:rPr>
              <w:t>380</w:t>
            </w:r>
            <w:r w:rsidRPr="00092E3A">
              <w:rPr>
                <w:sz w:val="22"/>
              </w:rPr>
              <w:t>,000</w:t>
            </w:r>
          </w:p>
        </w:tc>
        <w:tc>
          <w:tcPr>
            <w:tcW w:w="2629" w:type="dxa"/>
            <w:shd w:val="clear" w:color="auto" w:fill="auto"/>
          </w:tcPr>
          <w:p w:rsidR="00FC3E87" w:rsidRPr="00092E3A" w:rsidRDefault="00FC3E87" w:rsidP="00CD750E">
            <w:pPr>
              <w:jc w:val="center"/>
              <w:rPr>
                <w:sz w:val="22"/>
              </w:rPr>
            </w:pPr>
            <w:r w:rsidRPr="00092E3A">
              <w:rPr>
                <w:sz w:val="22"/>
              </w:rPr>
              <w:t>4</w:t>
            </w:r>
            <w:r>
              <w:rPr>
                <w:sz w:val="22"/>
              </w:rPr>
              <w:t>379</w:t>
            </w:r>
            <w:r w:rsidRPr="00092E3A">
              <w:rPr>
                <w:sz w:val="22"/>
              </w:rPr>
              <w:t>,000</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федеральный бюджет</w:t>
            </w:r>
          </w:p>
        </w:tc>
        <w:tc>
          <w:tcPr>
            <w:tcW w:w="2410" w:type="dxa"/>
            <w:shd w:val="clear" w:color="auto" w:fill="auto"/>
          </w:tcPr>
          <w:p w:rsidR="00FC3E87" w:rsidRPr="00092E3A" w:rsidRDefault="00FC3E87" w:rsidP="009550B6">
            <w:pPr>
              <w:jc w:val="center"/>
              <w:rPr>
                <w:sz w:val="22"/>
              </w:rPr>
            </w:pPr>
            <w:r>
              <w:rPr>
                <w:sz w:val="22"/>
              </w:rPr>
              <w:t>3810</w:t>
            </w:r>
            <w:r w:rsidRPr="00092E3A">
              <w:rPr>
                <w:sz w:val="22"/>
              </w:rPr>
              <w:t>,</w:t>
            </w:r>
            <w:r w:rsidR="009550B6">
              <w:rPr>
                <w:sz w:val="22"/>
              </w:rPr>
              <w:t>6</w:t>
            </w:r>
            <w:r w:rsidRPr="00092E3A">
              <w:rPr>
                <w:sz w:val="22"/>
              </w:rPr>
              <w:t>00</w:t>
            </w:r>
          </w:p>
        </w:tc>
        <w:tc>
          <w:tcPr>
            <w:tcW w:w="2629" w:type="dxa"/>
            <w:shd w:val="clear" w:color="auto" w:fill="auto"/>
          </w:tcPr>
          <w:p w:rsidR="00FC3E87" w:rsidRPr="00092E3A" w:rsidRDefault="00FC3E87" w:rsidP="00CD750E">
            <w:pPr>
              <w:jc w:val="center"/>
              <w:rPr>
                <w:sz w:val="22"/>
              </w:rPr>
            </w:pPr>
            <w:r>
              <w:rPr>
                <w:sz w:val="22"/>
              </w:rPr>
              <w:t>3809,73</w:t>
            </w:r>
            <w:r w:rsidRPr="00092E3A">
              <w:rPr>
                <w:sz w:val="22"/>
              </w:rPr>
              <w:t>0</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областной бюджет</w:t>
            </w:r>
          </w:p>
        </w:tc>
        <w:tc>
          <w:tcPr>
            <w:tcW w:w="2410" w:type="dxa"/>
            <w:shd w:val="clear" w:color="auto" w:fill="auto"/>
          </w:tcPr>
          <w:p w:rsidR="00FC3E87" w:rsidRPr="00092E3A" w:rsidRDefault="00FC3E87" w:rsidP="00CD750E">
            <w:pPr>
              <w:jc w:val="center"/>
              <w:rPr>
                <w:sz w:val="22"/>
              </w:rPr>
            </w:pPr>
            <w:r w:rsidRPr="00092E3A">
              <w:rPr>
                <w:sz w:val="22"/>
              </w:rPr>
              <w:t>5</w:t>
            </w:r>
            <w:r>
              <w:rPr>
                <w:sz w:val="22"/>
              </w:rPr>
              <w:t>69</w:t>
            </w:r>
            <w:r w:rsidRPr="00092E3A">
              <w:rPr>
                <w:sz w:val="22"/>
              </w:rPr>
              <w:t>,</w:t>
            </w:r>
            <w:r>
              <w:rPr>
                <w:sz w:val="22"/>
              </w:rPr>
              <w:t>4</w:t>
            </w:r>
            <w:r w:rsidRPr="00092E3A">
              <w:rPr>
                <w:sz w:val="22"/>
              </w:rPr>
              <w:t>00</w:t>
            </w:r>
          </w:p>
        </w:tc>
        <w:tc>
          <w:tcPr>
            <w:tcW w:w="2629" w:type="dxa"/>
            <w:shd w:val="clear" w:color="auto" w:fill="auto"/>
          </w:tcPr>
          <w:p w:rsidR="00FC3E87" w:rsidRPr="00092E3A" w:rsidRDefault="00FC3E87" w:rsidP="00CD750E">
            <w:pPr>
              <w:jc w:val="center"/>
              <w:rPr>
                <w:sz w:val="22"/>
              </w:rPr>
            </w:pPr>
            <w:r w:rsidRPr="00092E3A">
              <w:rPr>
                <w:sz w:val="22"/>
              </w:rPr>
              <w:t>5</w:t>
            </w:r>
            <w:r>
              <w:rPr>
                <w:sz w:val="22"/>
              </w:rPr>
              <w:t>69</w:t>
            </w:r>
            <w:r w:rsidRPr="00092E3A">
              <w:rPr>
                <w:sz w:val="22"/>
              </w:rPr>
              <w:t>,</w:t>
            </w:r>
            <w:r>
              <w:rPr>
                <w:sz w:val="22"/>
              </w:rPr>
              <w:t>27</w:t>
            </w:r>
            <w:r w:rsidRPr="00092E3A">
              <w:rPr>
                <w:sz w:val="22"/>
              </w:rPr>
              <w:t>0</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местные бюджеты</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государственные внебюджетные фонды Российской Федерации</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территориальные  государственные внебюджетные фонды</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внебюджетные источники</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201661">
        <w:tc>
          <w:tcPr>
            <w:tcW w:w="2376" w:type="dxa"/>
            <w:vMerge w:val="restart"/>
            <w:shd w:val="clear" w:color="auto" w:fill="auto"/>
          </w:tcPr>
          <w:p w:rsidR="00FC3E87" w:rsidRPr="00092E3A" w:rsidRDefault="00FC3E87" w:rsidP="00CE68DD">
            <w:pPr>
              <w:rPr>
                <w:sz w:val="22"/>
              </w:rPr>
            </w:pPr>
            <w:r w:rsidRPr="00092E3A">
              <w:rPr>
                <w:sz w:val="22"/>
              </w:rPr>
              <w:lastRenderedPageBreak/>
              <w:t>Мероприятие 01.1</w:t>
            </w:r>
          </w:p>
        </w:tc>
        <w:tc>
          <w:tcPr>
            <w:tcW w:w="3402" w:type="dxa"/>
            <w:vMerge w:val="restart"/>
            <w:shd w:val="clear" w:color="auto" w:fill="auto"/>
          </w:tcPr>
          <w:p w:rsidR="00FC3E87" w:rsidRPr="00092E3A" w:rsidRDefault="00FC3E87" w:rsidP="00CE68DD">
            <w:pPr>
              <w:rPr>
                <w:sz w:val="22"/>
              </w:rPr>
            </w:pPr>
            <w:r w:rsidRPr="00092E3A">
              <w:rPr>
                <w:sz w:val="22"/>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всего</w:t>
            </w:r>
          </w:p>
        </w:tc>
        <w:tc>
          <w:tcPr>
            <w:tcW w:w="2410" w:type="dxa"/>
            <w:shd w:val="clear" w:color="auto" w:fill="auto"/>
          </w:tcPr>
          <w:p w:rsidR="00FC3E87" w:rsidRPr="00092E3A" w:rsidRDefault="00FC3E87" w:rsidP="00CE68DD">
            <w:pPr>
              <w:jc w:val="center"/>
              <w:rPr>
                <w:sz w:val="22"/>
              </w:rPr>
            </w:pPr>
            <w:r>
              <w:rPr>
                <w:sz w:val="22"/>
              </w:rPr>
              <w:t>2817</w:t>
            </w:r>
            <w:r w:rsidRPr="00092E3A">
              <w:rPr>
                <w:sz w:val="22"/>
              </w:rPr>
              <w:t>,000</w:t>
            </w:r>
          </w:p>
        </w:tc>
        <w:tc>
          <w:tcPr>
            <w:tcW w:w="2629" w:type="dxa"/>
            <w:shd w:val="clear" w:color="auto" w:fill="auto"/>
          </w:tcPr>
          <w:p w:rsidR="00FC3E87" w:rsidRPr="00092E3A" w:rsidRDefault="00FC3E87" w:rsidP="00CE68DD">
            <w:pPr>
              <w:jc w:val="center"/>
              <w:rPr>
                <w:sz w:val="22"/>
              </w:rPr>
            </w:pPr>
            <w:r>
              <w:rPr>
                <w:sz w:val="22"/>
              </w:rPr>
              <w:t>2816</w:t>
            </w:r>
            <w:r w:rsidRPr="00092E3A">
              <w:rPr>
                <w:sz w:val="22"/>
              </w:rPr>
              <w:t>,000</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федеральный бюджет</w:t>
            </w:r>
          </w:p>
        </w:tc>
        <w:tc>
          <w:tcPr>
            <w:tcW w:w="2410" w:type="dxa"/>
            <w:shd w:val="clear" w:color="auto" w:fill="auto"/>
          </w:tcPr>
          <w:p w:rsidR="00FC3E87" w:rsidRPr="00092E3A" w:rsidRDefault="00FC3E87" w:rsidP="00FC3E87">
            <w:pPr>
              <w:jc w:val="center"/>
              <w:rPr>
                <w:sz w:val="22"/>
              </w:rPr>
            </w:pPr>
            <w:r w:rsidRPr="00092E3A">
              <w:rPr>
                <w:sz w:val="22"/>
              </w:rPr>
              <w:t>2</w:t>
            </w:r>
            <w:r>
              <w:rPr>
                <w:sz w:val="22"/>
              </w:rPr>
              <w:t>450</w:t>
            </w:r>
            <w:r w:rsidRPr="00092E3A">
              <w:rPr>
                <w:sz w:val="22"/>
              </w:rPr>
              <w:t>,</w:t>
            </w:r>
            <w:r>
              <w:rPr>
                <w:sz w:val="22"/>
              </w:rPr>
              <w:t>79</w:t>
            </w:r>
            <w:r w:rsidRPr="00092E3A">
              <w:rPr>
                <w:sz w:val="22"/>
              </w:rPr>
              <w:t>0</w:t>
            </w:r>
          </w:p>
        </w:tc>
        <w:tc>
          <w:tcPr>
            <w:tcW w:w="2629" w:type="dxa"/>
            <w:shd w:val="clear" w:color="auto" w:fill="auto"/>
          </w:tcPr>
          <w:p w:rsidR="00FC3E87" w:rsidRPr="00092E3A" w:rsidRDefault="00FC3E87" w:rsidP="00FC3E87">
            <w:pPr>
              <w:jc w:val="center"/>
              <w:rPr>
                <w:sz w:val="22"/>
              </w:rPr>
            </w:pPr>
            <w:r w:rsidRPr="00092E3A">
              <w:rPr>
                <w:sz w:val="22"/>
              </w:rPr>
              <w:t>2</w:t>
            </w:r>
            <w:r>
              <w:rPr>
                <w:sz w:val="22"/>
              </w:rPr>
              <w:t>449</w:t>
            </w:r>
            <w:r w:rsidRPr="00092E3A">
              <w:rPr>
                <w:sz w:val="22"/>
              </w:rPr>
              <w:t>,</w:t>
            </w:r>
            <w:r>
              <w:rPr>
                <w:sz w:val="22"/>
              </w:rPr>
              <w:t>920</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областной бюджет</w:t>
            </w:r>
          </w:p>
        </w:tc>
        <w:tc>
          <w:tcPr>
            <w:tcW w:w="2410" w:type="dxa"/>
            <w:shd w:val="clear" w:color="auto" w:fill="auto"/>
          </w:tcPr>
          <w:p w:rsidR="00FC3E87" w:rsidRPr="00092E3A" w:rsidRDefault="00FC3E87" w:rsidP="00FC3E87">
            <w:pPr>
              <w:jc w:val="center"/>
              <w:rPr>
                <w:sz w:val="22"/>
              </w:rPr>
            </w:pPr>
            <w:r>
              <w:rPr>
                <w:sz w:val="22"/>
              </w:rPr>
              <w:t>366</w:t>
            </w:r>
            <w:r w:rsidRPr="00092E3A">
              <w:rPr>
                <w:sz w:val="22"/>
              </w:rPr>
              <w:t>,</w:t>
            </w:r>
            <w:r>
              <w:rPr>
                <w:sz w:val="22"/>
              </w:rPr>
              <w:t>210</w:t>
            </w:r>
          </w:p>
        </w:tc>
        <w:tc>
          <w:tcPr>
            <w:tcW w:w="2629" w:type="dxa"/>
            <w:shd w:val="clear" w:color="auto" w:fill="auto"/>
          </w:tcPr>
          <w:p w:rsidR="00FC3E87" w:rsidRPr="00092E3A" w:rsidRDefault="00FC3E87" w:rsidP="00FC3E87">
            <w:pPr>
              <w:jc w:val="center"/>
              <w:rPr>
                <w:sz w:val="22"/>
              </w:rPr>
            </w:pPr>
            <w:r>
              <w:rPr>
                <w:sz w:val="22"/>
              </w:rPr>
              <w:t>366</w:t>
            </w:r>
            <w:r w:rsidRPr="00092E3A">
              <w:rPr>
                <w:sz w:val="22"/>
              </w:rPr>
              <w:t>,</w:t>
            </w:r>
            <w:r>
              <w:rPr>
                <w:sz w:val="22"/>
              </w:rPr>
              <w:t>080</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местные бюджеты</w:t>
            </w:r>
          </w:p>
        </w:tc>
        <w:tc>
          <w:tcPr>
            <w:tcW w:w="2410" w:type="dxa"/>
            <w:shd w:val="clear" w:color="auto" w:fill="auto"/>
          </w:tcPr>
          <w:p w:rsidR="00FC3E87" w:rsidRPr="00092E3A" w:rsidRDefault="00FC3E87" w:rsidP="00CE68DD">
            <w:pPr>
              <w:jc w:val="center"/>
              <w:rPr>
                <w:sz w:val="22"/>
              </w:rPr>
            </w:pPr>
            <w:r>
              <w:rPr>
                <w:sz w:val="22"/>
              </w:rPr>
              <w:t>-</w:t>
            </w:r>
          </w:p>
        </w:tc>
        <w:tc>
          <w:tcPr>
            <w:tcW w:w="2629" w:type="dxa"/>
            <w:shd w:val="clear" w:color="auto" w:fill="auto"/>
          </w:tcPr>
          <w:p w:rsidR="00FC3E87" w:rsidRPr="00092E3A" w:rsidRDefault="00FC3E87" w:rsidP="00CE68DD">
            <w:pPr>
              <w:jc w:val="center"/>
              <w:rPr>
                <w:sz w:val="22"/>
              </w:rPr>
            </w:pPr>
            <w:r>
              <w:rPr>
                <w:sz w:val="22"/>
              </w:rPr>
              <w:t>-</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государственные внебюджетные фонды Российской Федерации</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территориальные  государственные внебюджетные фонды</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201661">
        <w:tc>
          <w:tcPr>
            <w:tcW w:w="2376" w:type="dxa"/>
            <w:vMerge/>
            <w:shd w:val="clear" w:color="auto" w:fill="auto"/>
          </w:tcPr>
          <w:p w:rsidR="00FC3E87" w:rsidRPr="00E2645B" w:rsidRDefault="00FC3E87" w:rsidP="00DB14C6">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DB14C6">
            <w:pPr>
              <w:widowControl w:val="0"/>
              <w:tabs>
                <w:tab w:val="left" w:pos="2775"/>
              </w:tabs>
              <w:suppressAutoHyphens/>
              <w:snapToGrid w:val="0"/>
              <w:jc w:val="center"/>
            </w:pPr>
          </w:p>
        </w:tc>
        <w:tc>
          <w:tcPr>
            <w:tcW w:w="3969" w:type="dxa"/>
            <w:shd w:val="clear" w:color="auto" w:fill="auto"/>
          </w:tcPr>
          <w:p w:rsidR="00FC3E87" w:rsidRPr="007C72C7" w:rsidRDefault="00FC3E87" w:rsidP="00DC4A93">
            <w:pPr>
              <w:widowControl w:val="0"/>
              <w:tabs>
                <w:tab w:val="left" w:pos="2775"/>
              </w:tabs>
              <w:suppressAutoHyphens/>
              <w:snapToGrid w:val="0"/>
              <w:rPr>
                <w:kern w:val="2"/>
                <w:lang w:eastAsia="hi-IN" w:bidi="hi-IN"/>
              </w:rPr>
            </w:pPr>
            <w:r w:rsidRPr="007C72C7">
              <w:rPr>
                <w:kern w:val="2"/>
                <w:lang w:eastAsia="hi-IN" w:bidi="hi-IN"/>
              </w:rPr>
              <w:t>внебюджетные источники</w:t>
            </w:r>
          </w:p>
        </w:tc>
        <w:tc>
          <w:tcPr>
            <w:tcW w:w="2410" w:type="dxa"/>
            <w:shd w:val="clear" w:color="auto" w:fill="auto"/>
          </w:tcPr>
          <w:p w:rsidR="00FC3E87" w:rsidRPr="0002155A" w:rsidRDefault="00FC3E87" w:rsidP="0002155A">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680548">
            <w:pPr>
              <w:jc w:val="center"/>
            </w:pPr>
            <w:r>
              <w:t>-</w:t>
            </w:r>
          </w:p>
        </w:tc>
      </w:tr>
      <w:tr w:rsidR="00FC3E87" w:rsidRPr="0032699D" w:rsidTr="00717A9B">
        <w:tc>
          <w:tcPr>
            <w:tcW w:w="2376" w:type="dxa"/>
            <w:vMerge w:val="restart"/>
            <w:shd w:val="clear" w:color="auto" w:fill="auto"/>
          </w:tcPr>
          <w:p w:rsidR="00FC3E87" w:rsidRPr="00092E3A" w:rsidRDefault="00FC3E87" w:rsidP="00CE68DD">
            <w:pPr>
              <w:rPr>
                <w:sz w:val="22"/>
              </w:rPr>
            </w:pPr>
            <w:r w:rsidRPr="00092E3A">
              <w:rPr>
                <w:sz w:val="22"/>
              </w:rPr>
              <w:t>Мероприятие 01.2</w:t>
            </w:r>
          </w:p>
        </w:tc>
        <w:tc>
          <w:tcPr>
            <w:tcW w:w="3402" w:type="dxa"/>
            <w:vMerge w:val="restart"/>
            <w:shd w:val="clear" w:color="auto" w:fill="auto"/>
          </w:tcPr>
          <w:p w:rsidR="00FC3E87" w:rsidRPr="00092E3A" w:rsidRDefault="00FC3E87" w:rsidP="00CE68DD">
            <w:pPr>
              <w:rPr>
                <w:sz w:val="22"/>
              </w:rPr>
            </w:pPr>
            <w:r w:rsidRPr="00092E3A">
              <w:rPr>
                <w:sz w:val="22"/>
              </w:rPr>
              <w:t>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всего</w:t>
            </w:r>
          </w:p>
        </w:tc>
        <w:tc>
          <w:tcPr>
            <w:tcW w:w="2410" w:type="dxa"/>
            <w:shd w:val="clear" w:color="auto" w:fill="auto"/>
          </w:tcPr>
          <w:p w:rsidR="00FC3E87" w:rsidRPr="00092E3A" w:rsidRDefault="00FC3E87" w:rsidP="00CE68DD">
            <w:pPr>
              <w:jc w:val="center"/>
              <w:rPr>
                <w:sz w:val="22"/>
              </w:rPr>
            </w:pPr>
            <w:r>
              <w:rPr>
                <w:sz w:val="22"/>
              </w:rPr>
              <w:t>1563</w:t>
            </w:r>
            <w:r w:rsidRPr="00092E3A">
              <w:rPr>
                <w:sz w:val="22"/>
              </w:rPr>
              <w:t>,000</w:t>
            </w:r>
          </w:p>
        </w:tc>
        <w:tc>
          <w:tcPr>
            <w:tcW w:w="2629" w:type="dxa"/>
            <w:shd w:val="clear" w:color="auto" w:fill="auto"/>
          </w:tcPr>
          <w:p w:rsidR="00FC3E87" w:rsidRPr="00092E3A" w:rsidRDefault="00FC3E87" w:rsidP="00CE68DD">
            <w:pPr>
              <w:jc w:val="center"/>
              <w:rPr>
                <w:sz w:val="22"/>
              </w:rPr>
            </w:pPr>
            <w:r>
              <w:rPr>
                <w:sz w:val="22"/>
              </w:rPr>
              <w:t>1563</w:t>
            </w:r>
            <w:r w:rsidRPr="00092E3A">
              <w:rPr>
                <w:sz w:val="22"/>
              </w:rPr>
              <w:t>,000</w:t>
            </w:r>
          </w:p>
        </w:tc>
      </w:tr>
      <w:tr w:rsidR="00FC3E87" w:rsidRPr="0032699D" w:rsidTr="00717A9B">
        <w:tc>
          <w:tcPr>
            <w:tcW w:w="2376" w:type="dxa"/>
            <w:vMerge/>
            <w:shd w:val="clear" w:color="auto" w:fill="auto"/>
          </w:tcPr>
          <w:p w:rsidR="00FC3E87" w:rsidRPr="00E2645B" w:rsidRDefault="00FC3E87" w:rsidP="00717A9B">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717A9B">
            <w:pPr>
              <w:widowControl w:val="0"/>
              <w:tabs>
                <w:tab w:val="left" w:pos="2775"/>
              </w:tabs>
              <w:suppressAutoHyphens/>
              <w:snapToGrid w:val="0"/>
              <w:jc w:val="center"/>
            </w:pP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федеральный бюджет</w:t>
            </w:r>
          </w:p>
        </w:tc>
        <w:tc>
          <w:tcPr>
            <w:tcW w:w="2410" w:type="dxa"/>
            <w:shd w:val="clear" w:color="auto" w:fill="auto"/>
          </w:tcPr>
          <w:p w:rsidR="00FC3E87" w:rsidRPr="00092E3A" w:rsidRDefault="00FC3E87" w:rsidP="00FC3E87">
            <w:pPr>
              <w:jc w:val="center"/>
              <w:rPr>
                <w:sz w:val="22"/>
              </w:rPr>
            </w:pPr>
            <w:r>
              <w:rPr>
                <w:sz w:val="22"/>
              </w:rPr>
              <w:t>1359,810</w:t>
            </w:r>
          </w:p>
        </w:tc>
        <w:tc>
          <w:tcPr>
            <w:tcW w:w="2629" w:type="dxa"/>
            <w:shd w:val="clear" w:color="auto" w:fill="auto"/>
          </w:tcPr>
          <w:p w:rsidR="00FC3E87" w:rsidRPr="00092E3A" w:rsidRDefault="00FC3E87" w:rsidP="00A271E6">
            <w:pPr>
              <w:jc w:val="center"/>
              <w:rPr>
                <w:sz w:val="22"/>
              </w:rPr>
            </w:pPr>
            <w:r>
              <w:rPr>
                <w:sz w:val="22"/>
              </w:rPr>
              <w:t>1359,810</w:t>
            </w:r>
          </w:p>
        </w:tc>
      </w:tr>
      <w:tr w:rsidR="00FC3E87" w:rsidRPr="0032699D" w:rsidTr="00717A9B">
        <w:tc>
          <w:tcPr>
            <w:tcW w:w="2376" w:type="dxa"/>
            <w:vMerge/>
            <w:shd w:val="clear" w:color="auto" w:fill="auto"/>
          </w:tcPr>
          <w:p w:rsidR="00FC3E87" w:rsidRPr="00E2645B" w:rsidRDefault="00FC3E87" w:rsidP="00717A9B">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717A9B">
            <w:pPr>
              <w:widowControl w:val="0"/>
              <w:tabs>
                <w:tab w:val="left" w:pos="2775"/>
              </w:tabs>
              <w:suppressAutoHyphens/>
              <w:snapToGrid w:val="0"/>
              <w:jc w:val="center"/>
            </w:pP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областной бюджет</w:t>
            </w:r>
          </w:p>
        </w:tc>
        <w:tc>
          <w:tcPr>
            <w:tcW w:w="2410" w:type="dxa"/>
            <w:shd w:val="clear" w:color="auto" w:fill="auto"/>
          </w:tcPr>
          <w:p w:rsidR="00FC3E87" w:rsidRPr="00092E3A" w:rsidRDefault="00FC3E87" w:rsidP="00FC3E87">
            <w:pPr>
              <w:jc w:val="center"/>
              <w:rPr>
                <w:sz w:val="22"/>
              </w:rPr>
            </w:pPr>
            <w:r>
              <w:rPr>
                <w:sz w:val="22"/>
              </w:rPr>
              <w:t>203</w:t>
            </w:r>
            <w:r w:rsidRPr="00092E3A">
              <w:rPr>
                <w:sz w:val="22"/>
              </w:rPr>
              <w:t>,</w:t>
            </w:r>
            <w:r>
              <w:rPr>
                <w:sz w:val="22"/>
              </w:rPr>
              <w:t>190</w:t>
            </w:r>
          </w:p>
        </w:tc>
        <w:tc>
          <w:tcPr>
            <w:tcW w:w="2629" w:type="dxa"/>
            <w:shd w:val="clear" w:color="auto" w:fill="auto"/>
          </w:tcPr>
          <w:p w:rsidR="00FC3E87" w:rsidRPr="00092E3A" w:rsidRDefault="00FC3E87" w:rsidP="00A271E6">
            <w:pPr>
              <w:jc w:val="center"/>
              <w:rPr>
                <w:sz w:val="22"/>
              </w:rPr>
            </w:pPr>
            <w:r>
              <w:rPr>
                <w:sz w:val="22"/>
              </w:rPr>
              <w:t>203</w:t>
            </w:r>
            <w:r w:rsidRPr="00092E3A">
              <w:rPr>
                <w:sz w:val="22"/>
              </w:rPr>
              <w:t>,</w:t>
            </w:r>
            <w:r>
              <w:rPr>
                <w:sz w:val="22"/>
              </w:rPr>
              <w:t>190</w:t>
            </w:r>
          </w:p>
        </w:tc>
      </w:tr>
      <w:tr w:rsidR="00FC3E87" w:rsidRPr="0032699D" w:rsidTr="00717A9B">
        <w:tc>
          <w:tcPr>
            <w:tcW w:w="2376" w:type="dxa"/>
            <w:vMerge/>
            <w:shd w:val="clear" w:color="auto" w:fill="auto"/>
          </w:tcPr>
          <w:p w:rsidR="00FC3E87" w:rsidRPr="00E2645B" w:rsidRDefault="00FC3E87" w:rsidP="00717A9B">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717A9B">
            <w:pPr>
              <w:widowControl w:val="0"/>
              <w:tabs>
                <w:tab w:val="left" w:pos="2775"/>
              </w:tabs>
              <w:suppressAutoHyphens/>
              <w:snapToGrid w:val="0"/>
              <w:jc w:val="center"/>
            </w:pP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местные бюджеты</w:t>
            </w:r>
          </w:p>
        </w:tc>
        <w:tc>
          <w:tcPr>
            <w:tcW w:w="2410" w:type="dxa"/>
            <w:shd w:val="clear" w:color="auto" w:fill="auto"/>
          </w:tcPr>
          <w:p w:rsidR="00FC3E87" w:rsidRPr="00092E3A" w:rsidRDefault="00FC3E87" w:rsidP="00CE68DD">
            <w:pPr>
              <w:jc w:val="center"/>
              <w:rPr>
                <w:sz w:val="22"/>
              </w:rPr>
            </w:pPr>
          </w:p>
        </w:tc>
        <w:tc>
          <w:tcPr>
            <w:tcW w:w="2629" w:type="dxa"/>
            <w:shd w:val="clear" w:color="auto" w:fill="auto"/>
          </w:tcPr>
          <w:p w:rsidR="00FC3E87" w:rsidRPr="00092E3A" w:rsidRDefault="00FC3E87" w:rsidP="00A271E6">
            <w:pPr>
              <w:jc w:val="center"/>
              <w:rPr>
                <w:sz w:val="22"/>
              </w:rPr>
            </w:pPr>
          </w:p>
        </w:tc>
      </w:tr>
      <w:tr w:rsidR="00FC3E87" w:rsidRPr="0032699D" w:rsidTr="00717A9B">
        <w:tc>
          <w:tcPr>
            <w:tcW w:w="2376" w:type="dxa"/>
            <w:vMerge/>
            <w:shd w:val="clear" w:color="auto" w:fill="auto"/>
          </w:tcPr>
          <w:p w:rsidR="00FC3E87" w:rsidRPr="00E2645B" w:rsidRDefault="00FC3E87" w:rsidP="00717A9B">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717A9B">
            <w:pPr>
              <w:widowControl w:val="0"/>
              <w:tabs>
                <w:tab w:val="left" w:pos="2775"/>
              </w:tabs>
              <w:suppressAutoHyphens/>
              <w:snapToGrid w:val="0"/>
              <w:jc w:val="center"/>
            </w:pP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государственные внебюджетные фонды Российской Федерации</w:t>
            </w:r>
          </w:p>
        </w:tc>
        <w:tc>
          <w:tcPr>
            <w:tcW w:w="2410" w:type="dxa"/>
            <w:shd w:val="clear" w:color="auto" w:fill="auto"/>
          </w:tcPr>
          <w:p w:rsidR="00FC3E87" w:rsidRPr="0002155A" w:rsidRDefault="00FC3E87" w:rsidP="00717A9B">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717A9B">
            <w:pPr>
              <w:jc w:val="center"/>
            </w:pPr>
            <w:bookmarkStart w:id="0" w:name="_GoBack"/>
            <w:bookmarkEnd w:id="0"/>
            <w:r>
              <w:t>-</w:t>
            </w:r>
          </w:p>
        </w:tc>
      </w:tr>
      <w:tr w:rsidR="00FC3E87" w:rsidRPr="0032699D" w:rsidTr="00717A9B">
        <w:tc>
          <w:tcPr>
            <w:tcW w:w="2376" w:type="dxa"/>
            <w:vMerge/>
            <w:shd w:val="clear" w:color="auto" w:fill="auto"/>
          </w:tcPr>
          <w:p w:rsidR="00FC3E87" w:rsidRPr="00E2645B" w:rsidRDefault="00FC3E87" w:rsidP="00717A9B">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717A9B">
            <w:pPr>
              <w:widowControl w:val="0"/>
              <w:tabs>
                <w:tab w:val="left" w:pos="2775"/>
              </w:tabs>
              <w:suppressAutoHyphens/>
              <w:snapToGrid w:val="0"/>
              <w:jc w:val="center"/>
            </w:pP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территориальные  государственные внебюджетные фонды</w:t>
            </w:r>
          </w:p>
        </w:tc>
        <w:tc>
          <w:tcPr>
            <w:tcW w:w="2410" w:type="dxa"/>
            <w:shd w:val="clear" w:color="auto" w:fill="auto"/>
          </w:tcPr>
          <w:p w:rsidR="00FC3E87" w:rsidRPr="0002155A" w:rsidRDefault="00FC3E87" w:rsidP="00717A9B">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717A9B">
            <w:pPr>
              <w:jc w:val="center"/>
            </w:pPr>
            <w:r>
              <w:t>-</w:t>
            </w:r>
          </w:p>
        </w:tc>
      </w:tr>
      <w:tr w:rsidR="00FC3E87" w:rsidRPr="0032699D" w:rsidTr="00717A9B">
        <w:tc>
          <w:tcPr>
            <w:tcW w:w="2376" w:type="dxa"/>
            <w:vMerge/>
            <w:shd w:val="clear" w:color="auto" w:fill="auto"/>
          </w:tcPr>
          <w:p w:rsidR="00FC3E87" w:rsidRPr="00E2645B" w:rsidRDefault="00FC3E87" w:rsidP="00717A9B">
            <w:pPr>
              <w:widowControl w:val="0"/>
              <w:tabs>
                <w:tab w:val="left" w:pos="2775"/>
              </w:tabs>
              <w:suppressAutoHyphens/>
              <w:snapToGrid w:val="0"/>
              <w:jc w:val="center"/>
              <w:rPr>
                <w:kern w:val="2"/>
                <w:lang w:eastAsia="hi-IN" w:bidi="hi-IN"/>
              </w:rPr>
            </w:pPr>
          </w:p>
        </w:tc>
        <w:tc>
          <w:tcPr>
            <w:tcW w:w="3402" w:type="dxa"/>
            <w:vMerge/>
            <w:shd w:val="clear" w:color="auto" w:fill="auto"/>
          </w:tcPr>
          <w:p w:rsidR="00FC3E87" w:rsidRPr="00E2645B" w:rsidRDefault="00FC3E87" w:rsidP="00717A9B">
            <w:pPr>
              <w:widowControl w:val="0"/>
              <w:tabs>
                <w:tab w:val="left" w:pos="2775"/>
              </w:tabs>
              <w:suppressAutoHyphens/>
              <w:snapToGrid w:val="0"/>
              <w:jc w:val="center"/>
            </w:pPr>
          </w:p>
        </w:tc>
        <w:tc>
          <w:tcPr>
            <w:tcW w:w="3969" w:type="dxa"/>
            <w:shd w:val="clear" w:color="auto" w:fill="auto"/>
          </w:tcPr>
          <w:p w:rsidR="00FC3E87" w:rsidRPr="007C72C7" w:rsidRDefault="00FC3E87" w:rsidP="00717A9B">
            <w:pPr>
              <w:widowControl w:val="0"/>
              <w:tabs>
                <w:tab w:val="left" w:pos="2775"/>
              </w:tabs>
              <w:suppressAutoHyphens/>
              <w:snapToGrid w:val="0"/>
              <w:rPr>
                <w:kern w:val="2"/>
                <w:lang w:eastAsia="hi-IN" w:bidi="hi-IN"/>
              </w:rPr>
            </w:pPr>
            <w:r w:rsidRPr="007C72C7">
              <w:rPr>
                <w:kern w:val="2"/>
                <w:lang w:eastAsia="hi-IN" w:bidi="hi-IN"/>
              </w:rPr>
              <w:t>внебюджетные источники</w:t>
            </w:r>
          </w:p>
        </w:tc>
        <w:tc>
          <w:tcPr>
            <w:tcW w:w="2410" w:type="dxa"/>
            <w:shd w:val="clear" w:color="auto" w:fill="auto"/>
          </w:tcPr>
          <w:p w:rsidR="00FC3E87" w:rsidRPr="0002155A" w:rsidRDefault="00FC3E87" w:rsidP="00717A9B">
            <w:pPr>
              <w:widowControl w:val="0"/>
              <w:autoSpaceDE w:val="0"/>
              <w:autoSpaceDN w:val="0"/>
              <w:adjustRightInd w:val="0"/>
              <w:jc w:val="center"/>
              <w:rPr>
                <w:color w:val="000000"/>
              </w:rPr>
            </w:pPr>
            <w:r w:rsidRPr="0002155A">
              <w:rPr>
                <w:color w:val="000000"/>
              </w:rPr>
              <w:t>-</w:t>
            </w:r>
          </w:p>
        </w:tc>
        <w:tc>
          <w:tcPr>
            <w:tcW w:w="2629" w:type="dxa"/>
            <w:shd w:val="clear" w:color="auto" w:fill="auto"/>
          </w:tcPr>
          <w:p w:rsidR="00FC3E87" w:rsidRPr="007C72C7" w:rsidRDefault="00FC3E87" w:rsidP="00717A9B">
            <w:pPr>
              <w:jc w:val="center"/>
            </w:pPr>
            <w:r>
              <w:t>-</w:t>
            </w:r>
          </w:p>
        </w:tc>
      </w:tr>
    </w:tbl>
    <w:p w:rsidR="00C5167E" w:rsidRDefault="00C5167E" w:rsidP="0088612F"/>
    <w:p w:rsidR="00C5167E" w:rsidRPr="0032699D" w:rsidRDefault="00C5167E" w:rsidP="0088612F"/>
    <w:sectPr w:rsidR="00C5167E" w:rsidRPr="0032699D" w:rsidSect="003442DC">
      <w:headerReference w:type="even" r:id="rId8"/>
      <w:headerReference w:type="default" r:id="rId9"/>
      <w:pgSz w:w="16838" w:h="11906" w:orient="landscape"/>
      <w:pgMar w:top="899" w:right="1134" w:bottom="71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95" w:rsidRDefault="00620B95">
      <w:r>
        <w:separator/>
      </w:r>
    </w:p>
  </w:endnote>
  <w:endnote w:type="continuationSeparator" w:id="0">
    <w:p w:rsidR="00620B95" w:rsidRDefault="0062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95" w:rsidRDefault="00620B95">
      <w:r>
        <w:separator/>
      </w:r>
    </w:p>
  </w:footnote>
  <w:footnote w:type="continuationSeparator" w:id="0">
    <w:p w:rsidR="00620B95" w:rsidRDefault="00620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ED" w:rsidRDefault="00F236ED" w:rsidP="008A269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236ED" w:rsidRDefault="00F236E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ED" w:rsidRDefault="00F236ED" w:rsidP="008A269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550B6">
      <w:rPr>
        <w:rStyle w:val="a7"/>
        <w:noProof/>
      </w:rPr>
      <w:t>2</w:t>
    </w:r>
    <w:r>
      <w:rPr>
        <w:rStyle w:val="a7"/>
      </w:rPr>
      <w:fldChar w:fldCharType="end"/>
    </w:r>
  </w:p>
  <w:p w:rsidR="00F236ED" w:rsidRDefault="00F236E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0F"/>
    <w:rsid w:val="000020DA"/>
    <w:rsid w:val="000026E9"/>
    <w:rsid w:val="00002D5F"/>
    <w:rsid w:val="00005FA7"/>
    <w:rsid w:val="00011CD6"/>
    <w:rsid w:val="0002155A"/>
    <w:rsid w:val="00025A57"/>
    <w:rsid w:val="00025CDD"/>
    <w:rsid w:val="000319EA"/>
    <w:rsid w:val="00033302"/>
    <w:rsid w:val="000474F3"/>
    <w:rsid w:val="00065ED5"/>
    <w:rsid w:val="00066944"/>
    <w:rsid w:val="00066B74"/>
    <w:rsid w:val="00066F74"/>
    <w:rsid w:val="0007618E"/>
    <w:rsid w:val="000922D1"/>
    <w:rsid w:val="00093F9A"/>
    <w:rsid w:val="000A39F3"/>
    <w:rsid w:val="000A415B"/>
    <w:rsid w:val="000A45A2"/>
    <w:rsid w:val="000B1736"/>
    <w:rsid w:val="000B3772"/>
    <w:rsid w:val="000B62B4"/>
    <w:rsid w:val="000C29AE"/>
    <w:rsid w:val="000D37DB"/>
    <w:rsid w:val="000D3D29"/>
    <w:rsid w:val="000D701A"/>
    <w:rsid w:val="000E12BA"/>
    <w:rsid w:val="000F08D5"/>
    <w:rsid w:val="000F1E60"/>
    <w:rsid w:val="000F31F2"/>
    <w:rsid w:val="001032A7"/>
    <w:rsid w:val="00120184"/>
    <w:rsid w:val="00123AB2"/>
    <w:rsid w:val="00124BAE"/>
    <w:rsid w:val="00140E4C"/>
    <w:rsid w:val="001449A2"/>
    <w:rsid w:val="00155096"/>
    <w:rsid w:val="00156B62"/>
    <w:rsid w:val="001733D8"/>
    <w:rsid w:val="00176D45"/>
    <w:rsid w:val="00183E00"/>
    <w:rsid w:val="00190E76"/>
    <w:rsid w:val="001A157C"/>
    <w:rsid w:val="001A44AB"/>
    <w:rsid w:val="001D0767"/>
    <w:rsid w:val="001D1486"/>
    <w:rsid w:val="001D2834"/>
    <w:rsid w:val="001D3888"/>
    <w:rsid w:val="001F2803"/>
    <w:rsid w:val="001F38FD"/>
    <w:rsid w:val="001F4F63"/>
    <w:rsid w:val="001F5425"/>
    <w:rsid w:val="00201661"/>
    <w:rsid w:val="0020241C"/>
    <w:rsid w:val="002058F7"/>
    <w:rsid w:val="00206D4E"/>
    <w:rsid w:val="00211400"/>
    <w:rsid w:val="0021630B"/>
    <w:rsid w:val="002214A0"/>
    <w:rsid w:val="00222F64"/>
    <w:rsid w:val="0022336F"/>
    <w:rsid w:val="0023024E"/>
    <w:rsid w:val="0023371F"/>
    <w:rsid w:val="002345C5"/>
    <w:rsid w:val="00241DD8"/>
    <w:rsid w:val="002449B3"/>
    <w:rsid w:val="0025701A"/>
    <w:rsid w:val="0026002E"/>
    <w:rsid w:val="00260302"/>
    <w:rsid w:val="00263FEA"/>
    <w:rsid w:val="002764EF"/>
    <w:rsid w:val="00277EAF"/>
    <w:rsid w:val="00290EF2"/>
    <w:rsid w:val="002912B7"/>
    <w:rsid w:val="002917EC"/>
    <w:rsid w:val="002957C8"/>
    <w:rsid w:val="002A4CF7"/>
    <w:rsid w:val="002A7A90"/>
    <w:rsid w:val="002B0FBB"/>
    <w:rsid w:val="002B75FD"/>
    <w:rsid w:val="002C0CA9"/>
    <w:rsid w:val="002C3934"/>
    <w:rsid w:val="002D0C1D"/>
    <w:rsid w:val="002D2972"/>
    <w:rsid w:val="002E0D32"/>
    <w:rsid w:val="002E238C"/>
    <w:rsid w:val="002E2F00"/>
    <w:rsid w:val="002F3028"/>
    <w:rsid w:val="002F5DD2"/>
    <w:rsid w:val="0030776C"/>
    <w:rsid w:val="00321279"/>
    <w:rsid w:val="0032245F"/>
    <w:rsid w:val="00322C87"/>
    <w:rsid w:val="003255E0"/>
    <w:rsid w:val="0032699D"/>
    <w:rsid w:val="00331DF6"/>
    <w:rsid w:val="00334B78"/>
    <w:rsid w:val="003442DC"/>
    <w:rsid w:val="00350A09"/>
    <w:rsid w:val="0035715B"/>
    <w:rsid w:val="00372D0A"/>
    <w:rsid w:val="00375118"/>
    <w:rsid w:val="003843AA"/>
    <w:rsid w:val="00386E30"/>
    <w:rsid w:val="003917CD"/>
    <w:rsid w:val="00391828"/>
    <w:rsid w:val="00395213"/>
    <w:rsid w:val="003952EB"/>
    <w:rsid w:val="003B0430"/>
    <w:rsid w:val="003B05ED"/>
    <w:rsid w:val="003B3D0E"/>
    <w:rsid w:val="003B768B"/>
    <w:rsid w:val="003C6AF4"/>
    <w:rsid w:val="003C7DC2"/>
    <w:rsid w:val="003D0C89"/>
    <w:rsid w:val="003E126F"/>
    <w:rsid w:val="003E3919"/>
    <w:rsid w:val="003F31F3"/>
    <w:rsid w:val="003F75FB"/>
    <w:rsid w:val="00403D01"/>
    <w:rsid w:val="00405AA3"/>
    <w:rsid w:val="004068DD"/>
    <w:rsid w:val="0041281E"/>
    <w:rsid w:val="004166B7"/>
    <w:rsid w:val="00422DF1"/>
    <w:rsid w:val="004355FC"/>
    <w:rsid w:val="00437F03"/>
    <w:rsid w:val="0044126B"/>
    <w:rsid w:val="00451E56"/>
    <w:rsid w:val="004523A3"/>
    <w:rsid w:val="004552F0"/>
    <w:rsid w:val="00461578"/>
    <w:rsid w:val="00472581"/>
    <w:rsid w:val="0048236A"/>
    <w:rsid w:val="00484EB7"/>
    <w:rsid w:val="0049076E"/>
    <w:rsid w:val="00493DC2"/>
    <w:rsid w:val="00496E14"/>
    <w:rsid w:val="004A0A91"/>
    <w:rsid w:val="004B35DD"/>
    <w:rsid w:val="004B7383"/>
    <w:rsid w:val="004D04DD"/>
    <w:rsid w:val="004D23DB"/>
    <w:rsid w:val="004D4D38"/>
    <w:rsid w:val="004E7221"/>
    <w:rsid w:val="004F47F0"/>
    <w:rsid w:val="004F6154"/>
    <w:rsid w:val="004F6AF4"/>
    <w:rsid w:val="004F783F"/>
    <w:rsid w:val="004F79E9"/>
    <w:rsid w:val="004F7BFA"/>
    <w:rsid w:val="0050003B"/>
    <w:rsid w:val="00502FB1"/>
    <w:rsid w:val="005038CF"/>
    <w:rsid w:val="00505069"/>
    <w:rsid w:val="005104DE"/>
    <w:rsid w:val="00511391"/>
    <w:rsid w:val="00514A7A"/>
    <w:rsid w:val="00514D88"/>
    <w:rsid w:val="005151A8"/>
    <w:rsid w:val="0052025D"/>
    <w:rsid w:val="00522185"/>
    <w:rsid w:val="00522221"/>
    <w:rsid w:val="00523DC4"/>
    <w:rsid w:val="00536887"/>
    <w:rsid w:val="00537749"/>
    <w:rsid w:val="00544D81"/>
    <w:rsid w:val="00552AB3"/>
    <w:rsid w:val="00555EE4"/>
    <w:rsid w:val="00567CA4"/>
    <w:rsid w:val="005713C0"/>
    <w:rsid w:val="005761F8"/>
    <w:rsid w:val="00576AF6"/>
    <w:rsid w:val="00577A07"/>
    <w:rsid w:val="005924B0"/>
    <w:rsid w:val="00593F36"/>
    <w:rsid w:val="00597D4D"/>
    <w:rsid w:val="005A1106"/>
    <w:rsid w:val="005A4282"/>
    <w:rsid w:val="005B1507"/>
    <w:rsid w:val="005B6C91"/>
    <w:rsid w:val="005C3213"/>
    <w:rsid w:val="005C7336"/>
    <w:rsid w:val="005D1744"/>
    <w:rsid w:val="005D4CE7"/>
    <w:rsid w:val="005D5EAE"/>
    <w:rsid w:val="005E7C9C"/>
    <w:rsid w:val="005F0EB3"/>
    <w:rsid w:val="00600604"/>
    <w:rsid w:val="006016BA"/>
    <w:rsid w:val="00612811"/>
    <w:rsid w:val="0061785A"/>
    <w:rsid w:val="00620B95"/>
    <w:rsid w:val="00624A23"/>
    <w:rsid w:val="006525DD"/>
    <w:rsid w:val="00660A5C"/>
    <w:rsid w:val="00662E96"/>
    <w:rsid w:val="006654F0"/>
    <w:rsid w:val="0067384B"/>
    <w:rsid w:val="00675C51"/>
    <w:rsid w:val="00676636"/>
    <w:rsid w:val="00677E17"/>
    <w:rsid w:val="00680548"/>
    <w:rsid w:val="006912A3"/>
    <w:rsid w:val="00692C76"/>
    <w:rsid w:val="0069327C"/>
    <w:rsid w:val="006A1553"/>
    <w:rsid w:val="006A2637"/>
    <w:rsid w:val="006B4311"/>
    <w:rsid w:val="006B51F8"/>
    <w:rsid w:val="006B6C39"/>
    <w:rsid w:val="006C2870"/>
    <w:rsid w:val="006D0A46"/>
    <w:rsid w:val="006D227F"/>
    <w:rsid w:val="006D2E32"/>
    <w:rsid w:val="006E0250"/>
    <w:rsid w:val="006E1344"/>
    <w:rsid w:val="006E20FC"/>
    <w:rsid w:val="00700318"/>
    <w:rsid w:val="00701E9E"/>
    <w:rsid w:val="00705528"/>
    <w:rsid w:val="00711120"/>
    <w:rsid w:val="007129F2"/>
    <w:rsid w:val="00716820"/>
    <w:rsid w:val="007168E9"/>
    <w:rsid w:val="0073788A"/>
    <w:rsid w:val="00737AC3"/>
    <w:rsid w:val="00751108"/>
    <w:rsid w:val="007566D4"/>
    <w:rsid w:val="0076634D"/>
    <w:rsid w:val="00770E10"/>
    <w:rsid w:val="0077156C"/>
    <w:rsid w:val="0077293D"/>
    <w:rsid w:val="00773353"/>
    <w:rsid w:val="00774F5E"/>
    <w:rsid w:val="007768C5"/>
    <w:rsid w:val="00777D07"/>
    <w:rsid w:val="00780F0B"/>
    <w:rsid w:val="007835D8"/>
    <w:rsid w:val="0079354F"/>
    <w:rsid w:val="00796177"/>
    <w:rsid w:val="00796E8E"/>
    <w:rsid w:val="007B7107"/>
    <w:rsid w:val="007C0415"/>
    <w:rsid w:val="007C72C7"/>
    <w:rsid w:val="007D0855"/>
    <w:rsid w:val="007D0D64"/>
    <w:rsid w:val="007D5085"/>
    <w:rsid w:val="007D6525"/>
    <w:rsid w:val="007E05EB"/>
    <w:rsid w:val="007E40D6"/>
    <w:rsid w:val="007E6A26"/>
    <w:rsid w:val="007F13BB"/>
    <w:rsid w:val="007F5876"/>
    <w:rsid w:val="00802E63"/>
    <w:rsid w:val="0080508E"/>
    <w:rsid w:val="00814F85"/>
    <w:rsid w:val="0081687B"/>
    <w:rsid w:val="00833AAF"/>
    <w:rsid w:val="00836447"/>
    <w:rsid w:val="008421CB"/>
    <w:rsid w:val="00843E2E"/>
    <w:rsid w:val="00855408"/>
    <w:rsid w:val="00855FC0"/>
    <w:rsid w:val="008607B3"/>
    <w:rsid w:val="00864001"/>
    <w:rsid w:val="0086753C"/>
    <w:rsid w:val="00881BF0"/>
    <w:rsid w:val="00883979"/>
    <w:rsid w:val="00885C0B"/>
    <w:rsid w:val="0088612F"/>
    <w:rsid w:val="00890BC9"/>
    <w:rsid w:val="00894D2B"/>
    <w:rsid w:val="008A0002"/>
    <w:rsid w:val="008A2690"/>
    <w:rsid w:val="008B4A59"/>
    <w:rsid w:val="008B7FC0"/>
    <w:rsid w:val="008C1A47"/>
    <w:rsid w:val="008C1F78"/>
    <w:rsid w:val="008C3B90"/>
    <w:rsid w:val="008D0F16"/>
    <w:rsid w:val="008D3495"/>
    <w:rsid w:val="008F0A10"/>
    <w:rsid w:val="008F1C08"/>
    <w:rsid w:val="008F51FF"/>
    <w:rsid w:val="00906C06"/>
    <w:rsid w:val="009077F6"/>
    <w:rsid w:val="00911E32"/>
    <w:rsid w:val="00914852"/>
    <w:rsid w:val="00917A78"/>
    <w:rsid w:val="009210D1"/>
    <w:rsid w:val="009429B1"/>
    <w:rsid w:val="00946B66"/>
    <w:rsid w:val="009550B6"/>
    <w:rsid w:val="009557A7"/>
    <w:rsid w:val="009564E0"/>
    <w:rsid w:val="00965E09"/>
    <w:rsid w:val="0096785A"/>
    <w:rsid w:val="0097050F"/>
    <w:rsid w:val="0097061E"/>
    <w:rsid w:val="00973BC7"/>
    <w:rsid w:val="00973CF2"/>
    <w:rsid w:val="00981474"/>
    <w:rsid w:val="00981966"/>
    <w:rsid w:val="009833A3"/>
    <w:rsid w:val="009850DB"/>
    <w:rsid w:val="009909BE"/>
    <w:rsid w:val="0099465D"/>
    <w:rsid w:val="009947E6"/>
    <w:rsid w:val="00995355"/>
    <w:rsid w:val="009A6A4D"/>
    <w:rsid w:val="009B6F39"/>
    <w:rsid w:val="009C3C23"/>
    <w:rsid w:val="009C794D"/>
    <w:rsid w:val="009C7B4F"/>
    <w:rsid w:val="009D2284"/>
    <w:rsid w:val="009E3DF5"/>
    <w:rsid w:val="009F4E61"/>
    <w:rsid w:val="00A01FE9"/>
    <w:rsid w:val="00A068D8"/>
    <w:rsid w:val="00A1034D"/>
    <w:rsid w:val="00A10F5F"/>
    <w:rsid w:val="00A1233A"/>
    <w:rsid w:val="00A13BE2"/>
    <w:rsid w:val="00A14F48"/>
    <w:rsid w:val="00A17929"/>
    <w:rsid w:val="00A25FE4"/>
    <w:rsid w:val="00A32315"/>
    <w:rsid w:val="00A374C6"/>
    <w:rsid w:val="00A460FA"/>
    <w:rsid w:val="00A528CF"/>
    <w:rsid w:val="00A55938"/>
    <w:rsid w:val="00A55F03"/>
    <w:rsid w:val="00A60F07"/>
    <w:rsid w:val="00A6273E"/>
    <w:rsid w:val="00A652B2"/>
    <w:rsid w:val="00A669E6"/>
    <w:rsid w:val="00A725A7"/>
    <w:rsid w:val="00A731A4"/>
    <w:rsid w:val="00A77323"/>
    <w:rsid w:val="00A80F9A"/>
    <w:rsid w:val="00A842A5"/>
    <w:rsid w:val="00A87F2E"/>
    <w:rsid w:val="00A96244"/>
    <w:rsid w:val="00A97BF3"/>
    <w:rsid w:val="00AB1245"/>
    <w:rsid w:val="00AB47EB"/>
    <w:rsid w:val="00AB6CFC"/>
    <w:rsid w:val="00AC249B"/>
    <w:rsid w:val="00AC5366"/>
    <w:rsid w:val="00AD1DE4"/>
    <w:rsid w:val="00AE74EE"/>
    <w:rsid w:val="00AE79A0"/>
    <w:rsid w:val="00B11186"/>
    <w:rsid w:val="00B1223F"/>
    <w:rsid w:val="00B1271D"/>
    <w:rsid w:val="00B127C5"/>
    <w:rsid w:val="00B16B52"/>
    <w:rsid w:val="00B177E6"/>
    <w:rsid w:val="00B23B83"/>
    <w:rsid w:val="00B25664"/>
    <w:rsid w:val="00B26FC6"/>
    <w:rsid w:val="00B353A9"/>
    <w:rsid w:val="00B42696"/>
    <w:rsid w:val="00B431E4"/>
    <w:rsid w:val="00B47056"/>
    <w:rsid w:val="00B47441"/>
    <w:rsid w:val="00B51404"/>
    <w:rsid w:val="00B51AFD"/>
    <w:rsid w:val="00B54A0D"/>
    <w:rsid w:val="00B56562"/>
    <w:rsid w:val="00B57E71"/>
    <w:rsid w:val="00B658B4"/>
    <w:rsid w:val="00B66D29"/>
    <w:rsid w:val="00B67C57"/>
    <w:rsid w:val="00B72C7E"/>
    <w:rsid w:val="00B7659B"/>
    <w:rsid w:val="00B814E3"/>
    <w:rsid w:val="00B81763"/>
    <w:rsid w:val="00B84B61"/>
    <w:rsid w:val="00B90176"/>
    <w:rsid w:val="00B90598"/>
    <w:rsid w:val="00B92C91"/>
    <w:rsid w:val="00B9347D"/>
    <w:rsid w:val="00BA009C"/>
    <w:rsid w:val="00BA0395"/>
    <w:rsid w:val="00BA2521"/>
    <w:rsid w:val="00BA534A"/>
    <w:rsid w:val="00BA6737"/>
    <w:rsid w:val="00BB185C"/>
    <w:rsid w:val="00BC1C31"/>
    <w:rsid w:val="00BC7F7F"/>
    <w:rsid w:val="00BD2A72"/>
    <w:rsid w:val="00BD2DED"/>
    <w:rsid w:val="00BD4370"/>
    <w:rsid w:val="00BD6E1B"/>
    <w:rsid w:val="00BD7E3A"/>
    <w:rsid w:val="00BE07D8"/>
    <w:rsid w:val="00BE41A2"/>
    <w:rsid w:val="00BF0E11"/>
    <w:rsid w:val="00BF3568"/>
    <w:rsid w:val="00BF4D75"/>
    <w:rsid w:val="00BF6E26"/>
    <w:rsid w:val="00C05B79"/>
    <w:rsid w:val="00C12833"/>
    <w:rsid w:val="00C13ECA"/>
    <w:rsid w:val="00C1554F"/>
    <w:rsid w:val="00C259D4"/>
    <w:rsid w:val="00C41901"/>
    <w:rsid w:val="00C45296"/>
    <w:rsid w:val="00C5167E"/>
    <w:rsid w:val="00C548BD"/>
    <w:rsid w:val="00C60520"/>
    <w:rsid w:val="00C61451"/>
    <w:rsid w:val="00C67286"/>
    <w:rsid w:val="00C7224A"/>
    <w:rsid w:val="00C75220"/>
    <w:rsid w:val="00C803FD"/>
    <w:rsid w:val="00C81C48"/>
    <w:rsid w:val="00C84506"/>
    <w:rsid w:val="00C875AB"/>
    <w:rsid w:val="00C92A00"/>
    <w:rsid w:val="00C92D4F"/>
    <w:rsid w:val="00C94C35"/>
    <w:rsid w:val="00C94CF3"/>
    <w:rsid w:val="00C97F05"/>
    <w:rsid w:val="00CA28C9"/>
    <w:rsid w:val="00CA4EA9"/>
    <w:rsid w:val="00CB2EB8"/>
    <w:rsid w:val="00CD4707"/>
    <w:rsid w:val="00CE0378"/>
    <w:rsid w:val="00CE3B38"/>
    <w:rsid w:val="00CF3D81"/>
    <w:rsid w:val="00CF41AE"/>
    <w:rsid w:val="00CF5C2F"/>
    <w:rsid w:val="00D00857"/>
    <w:rsid w:val="00D1383D"/>
    <w:rsid w:val="00D209EA"/>
    <w:rsid w:val="00D32551"/>
    <w:rsid w:val="00D35302"/>
    <w:rsid w:val="00D36A11"/>
    <w:rsid w:val="00D442D1"/>
    <w:rsid w:val="00D51470"/>
    <w:rsid w:val="00D60200"/>
    <w:rsid w:val="00D645FD"/>
    <w:rsid w:val="00D71126"/>
    <w:rsid w:val="00D71566"/>
    <w:rsid w:val="00D740D0"/>
    <w:rsid w:val="00D8184E"/>
    <w:rsid w:val="00D85FBD"/>
    <w:rsid w:val="00D87734"/>
    <w:rsid w:val="00D909B3"/>
    <w:rsid w:val="00D91B64"/>
    <w:rsid w:val="00D963C2"/>
    <w:rsid w:val="00D96F2A"/>
    <w:rsid w:val="00DA11F0"/>
    <w:rsid w:val="00DA2D56"/>
    <w:rsid w:val="00DB14C6"/>
    <w:rsid w:val="00DB286C"/>
    <w:rsid w:val="00DB2D3A"/>
    <w:rsid w:val="00DB60DA"/>
    <w:rsid w:val="00DB73D4"/>
    <w:rsid w:val="00DC0562"/>
    <w:rsid w:val="00DC4A93"/>
    <w:rsid w:val="00DC5E15"/>
    <w:rsid w:val="00DD3633"/>
    <w:rsid w:val="00DD71EB"/>
    <w:rsid w:val="00DE1A6B"/>
    <w:rsid w:val="00DE357E"/>
    <w:rsid w:val="00DE72CE"/>
    <w:rsid w:val="00DE73E6"/>
    <w:rsid w:val="00DF2036"/>
    <w:rsid w:val="00DF3958"/>
    <w:rsid w:val="00E07DBA"/>
    <w:rsid w:val="00E103EA"/>
    <w:rsid w:val="00E120F3"/>
    <w:rsid w:val="00E1265F"/>
    <w:rsid w:val="00E150B4"/>
    <w:rsid w:val="00E244B9"/>
    <w:rsid w:val="00E25C8B"/>
    <w:rsid w:val="00E2645B"/>
    <w:rsid w:val="00E355A6"/>
    <w:rsid w:val="00E368AC"/>
    <w:rsid w:val="00E36A5F"/>
    <w:rsid w:val="00E4378B"/>
    <w:rsid w:val="00E461C8"/>
    <w:rsid w:val="00E47C22"/>
    <w:rsid w:val="00E536C0"/>
    <w:rsid w:val="00E573CB"/>
    <w:rsid w:val="00E65B7F"/>
    <w:rsid w:val="00E6799A"/>
    <w:rsid w:val="00E70DB3"/>
    <w:rsid w:val="00E74D30"/>
    <w:rsid w:val="00E81FA1"/>
    <w:rsid w:val="00E87121"/>
    <w:rsid w:val="00E955EA"/>
    <w:rsid w:val="00EA6B29"/>
    <w:rsid w:val="00EB1D69"/>
    <w:rsid w:val="00EB258A"/>
    <w:rsid w:val="00EB5C2F"/>
    <w:rsid w:val="00EB6050"/>
    <w:rsid w:val="00EC286A"/>
    <w:rsid w:val="00EC55B8"/>
    <w:rsid w:val="00EC6C71"/>
    <w:rsid w:val="00EC6F08"/>
    <w:rsid w:val="00EC7886"/>
    <w:rsid w:val="00ED53C3"/>
    <w:rsid w:val="00EE2C39"/>
    <w:rsid w:val="00EE2CF8"/>
    <w:rsid w:val="00EE42CB"/>
    <w:rsid w:val="00EE5D44"/>
    <w:rsid w:val="00EF4127"/>
    <w:rsid w:val="00EF4B5D"/>
    <w:rsid w:val="00F0167C"/>
    <w:rsid w:val="00F0372C"/>
    <w:rsid w:val="00F06081"/>
    <w:rsid w:val="00F07020"/>
    <w:rsid w:val="00F173B9"/>
    <w:rsid w:val="00F236ED"/>
    <w:rsid w:val="00F243C0"/>
    <w:rsid w:val="00F3051A"/>
    <w:rsid w:val="00F3127E"/>
    <w:rsid w:val="00F3288C"/>
    <w:rsid w:val="00F349C4"/>
    <w:rsid w:val="00F3732E"/>
    <w:rsid w:val="00F41394"/>
    <w:rsid w:val="00F4315F"/>
    <w:rsid w:val="00F437FC"/>
    <w:rsid w:val="00F43B5A"/>
    <w:rsid w:val="00F451C8"/>
    <w:rsid w:val="00F470F5"/>
    <w:rsid w:val="00F51167"/>
    <w:rsid w:val="00F562A6"/>
    <w:rsid w:val="00F57D0D"/>
    <w:rsid w:val="00F61F51"/>
    <w:rsid w:val="00F62D5E"/>
    <w:rsid w:val="00F634F9"/>
    <w:rsid w:val="00F67B11"/>
    <w:rsid w:val="00F71A91"/>
    <w:rsid w:val="00F72645"/>
    <w:rsid w:val="00F75046"/>
    <w:rsid w:val="00F7613B"/>
    <w:rsid w:val="00F84DCE"/>
    <w:rsid w:val="00F87A95"/>
    <w:rsid w:val="00F904F6"/>
    <w:rsid w:val="00F93094"/>
    <w:rsid w:val="00F97198"/>
    <w:rsid w:val="00FA47EC"/>
    <w:rsid w:val="00FA5EC9"/>
    <w:rsid w:val="00FC3E87"/>
    <w:rsid w:val="00FC4B4E"/>
    <w:rsid w:val="00FC4DAF"/>
    <w:rsid w:val="00FD147C"/>
    <w:rsid w:val="00FD3248"/>
    <w:rsid w:val="00FD475C"/>
    <w:rsid w:val="00FD4FF4"/>
    <w:rsid w:val="00FE067E"/>
    <w:rsid w:val="00FE0916"/>
    <w:rsid w:val="00FF152F"/>
    <w:rsid w:val="00FF2579"/>
    <w:rsid w:val="00FF2FB2"/>
    <w:rsid w:val="00FF6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7050F"/>
    <w:rPr>
      <w:rFonts w:ascii="Tahoma" w:eastAsia="Calibri" w:hAnsi="Tahoma"/>
      <w:sz w:val="16"/>
      <w:szCs w:val="16"/>
      <w:lang w:val="x-none" w:eastAsia="en-US"/>
    </w:rPr>
  </w:style>
  <w:style w:type="character" w:customStyle="1" w:styleId="a5">
    <w:name w:val="Текст выноски Знак"/>
    <w:link w:val="a4"/>
    <w:semiHidden/>
    <w:locked/>
    <w:rsid w:val="0097050F"/>
    <w:rPr>
      <w:rFonts w:ascii="Tahoma" w:eastAsia="Calibri" w:hAnsi="Tahoma"/>
      <w:sz w:val="16"/>
      <w:szCs w:val="16"/>
      <w:lang w:val="x-none" w:eastAsia="en-US" w:bidi="ar-SA"/>
    </w:rPr>
  </w:style>
  <w:style w:type="paragraph" w:styleId="a6">
    <w:name w:val="header"/>
    <w:basedOn w:val="a"/>
    <w:rsid w:val="00A528CF"/>
    <w:pPr>
      <w:tabs>
        <w:tab w:val="center" w:pos="4677"/>
        <w:tab w:val="right" w:pos="9355"/>
      </w:tabs>
    </w:pPr>
  </w:style>
  <w:style w:type="character" w:styleId="a7">
    <w:name w:val="page number"/>
    <w:basedOn w:val="a0"/>
    <w:rsid w:val="00A528CF"/>
  </w:style>
  <w:style w:type="paragraph" w:customStyle="1" w:styleId="ConsPlusNormal">
    <w:name w:val="ConsPlusNormal"/>
    <w:rsid w:val="00C5167E"/>
    <w:pPr>
      <w:widowControl w:val="0"/>
      <w:autoSpaceDE w:val="0"/>
      <w:autoSpaceDN w:val="0"/>
      <w:adjustRightInd w:val="0"/>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7050F"/>
    <w:rPr>
      <w:rFonts w:ascii="Tahoma" w:eastAsia="Calibri" w:hAnsi="Tahoma"/>
      <w:sz w:val="16"/>
      <w:szCs w:val="16"/>
      <w:lang w:val="x-none" w:eastAsia="en-US"/>
    </w:rPr>
  </w:style>
  <w:style w:type="character" w:customStyle="1" w:styleId="a5">
    <w:name w:val="Текст выноски Знак"/>
    <w:link w:val="a4"/>
    <w:semiHidden/>
    <w:locked/>
    <w:rsid w:val="0097050F"/>
    <w:rPr>
      <w:rFonts w:ascii="Tahoma" w:eastAsia="Calibri" w:hAnsi="Tahoma"/>
      <w:sz w:val="16"/>
      <w:szCs w:val="16"/>
      <w:lang w:val="x-none" w:eastAsia="en-US" w:bidi="ar-SA"/>
    </w:rPr>
  </w:style>
  <w:style w:type="paragraph" w:styleId="a6">
    <w:name w:val="header"/>
    <w:basedOn w:val="a"/>
    <w:rsid w:val="00A528CF"/>
    <w:pPr>
      <w:tabs>
        <w:tab w:val="center" w:pos="4677"/>
        <w:tab w:val="right" w:pos="9355"/>
      </w:tabs>
    </w:pPr>
  </w:style>
  <w:style w:type="character" w:styleId="a7">
    <w:name w:val="page number"/>
    <w:basedOn w:val="a0"/>
    <w:rsid w:val="00A528CF"/>
  </w:style>
  <w:style w:type="paragraph" w:customStyle="1" w:styleId="ConsPlusNormal">
    <w:name w:val="ConsPlusNormal"/>
    <w:rsid w:val="00C5167E"/>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8A99-0188-4B88-B642-94BD7C68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294</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Таблица 17</vt:lpstr>
    </vt:vector>
  </TitlesOfParts>
  <Company>Комитет АПК Курскойобласти</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17</dc:title>
  <dc:creator>Prioritet</dc:creator>
  <cp:lastModifiedBy>Татаренкова И.И.</cp:lastModifiedBy>
  <cp:revision>10</cp:revision>
  <cp:lastPrinted>2022-02-26T13:42:00Z</cp:lastPrinted>
  <dcterms:created xsi:type="dcterms:W3CDTF">2021-02-20T09:58:00Z</dcterms:created>
  <dcterms:modified xsi:type="dcterms:W3CDTF">2022-02-26T14:30:00Z</dcterms:modified>
</cp:coreProperties>
</file>