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BA" w:rsidRPr="00CD4EDB" w:rsidRDefault="004610BA" w:rsidP="004610B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CD4EDB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ена</w:t>
      </w:r>
    </w:p>
    <w:p w:rsidR="004610BA" w:rsidRDefault="004610BA" w:rsidP="004610B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председателя комитета финансово-бюджетного контроля</w:t>
      </w:r>
    </w:p>
    <w:p w:rsidR="004610BA" w:rsidRDefault="004610BA" w:rsidP="004610B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4610BA" w:rsidRPr="00CD4EDB" w:rsidRDefault="004610BA" w:rsidP="004610BA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B147B" w:rsidRPr="009B147B">
        <w:rPr>
          <w:rFonts w:ascii="Times New Roman" w:hAnsi="Times New Roman" w:cs="Times New Roman"/>
          <w:sz w:val="28"/>
          <w:szCs w:val="28"/>
        </w:rPr>
        <w:t>27</w:t>
      </w:r>
      <w:r w:rsidRPr="009B147B">
        <w:rPr>
          <w:rFonts w:ascii="Times New Roman" w:hAnsi="Times New Roman" w:cs="Times New Roman"/>
          <w:sz w:val="28"/>
          <w:szCs w:val="28"/>
        </w:rPr>
        <w:t>.0</w:t>
      </w:r>
      <w:r w:rsidR="009B147B" w:rsidRPr="009B147B">
        <w:rPr>
          <w:rFonts w:ascii="Times New Roman" w:hAnsi="Times New Roman" w:cs="Times New Roman"/>
          <w:sz w:val="28"/>
          <w:szCs w:val="28"/>
        </w:rPr>
        <w:t>9.2021</w:t>
      </w:r>
      <w:r w:rsidRPr="009B1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bookmarkStart w:id="0" w:name="_GoBack"/>
      <w:bookmarkEnd w:id="0"/>
      <w:r w:rsidR="00DE7813" w:rsidRPr="009B147B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>-ОД</w:t>
      </w:r>
    </w:p>
    <w:p w:rsidR="004610BA" w:rsidRDefault="004610BA" w:rsidP="004610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0BA" w:rsidRPr="00CD4EDB" w:rsidRDefault="004610BA" w:rsidP="004610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0BA" w:rsidRDefault="004610BA" w:rsidP="004610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D4EDB">
        <w:rPr>
          <w:rFonts w:ascii="Times New Roman" w:hAnsi="Times New Roman" w:cs="Times New Roman"/>
          <w:sz w:val="28"/>
          <w:szCs w:val="28"/>
        </w:rPr>
        <w:t>ПОЛИТИКА</w:t>
      </w:r>
      <w:r w:rsidRPr="00580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1D6" w:rsidRDefault="004610BA" w:rsidP="004610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0BA">
        <w:rPr>
          <w:rFonts w:ascii="Times New Roman" w:hAnsi="Times New Roman" w:cs="Times New Roman"/>
          <w:b/>
          <w:sz w:val="28"/>
          <w:szCs w:val="28"/>
        </w:rPr>
        <w:t>КОМИТЕТА ФИНАНСОВО-БЮДЖЕТНОГО КОНТРОЛЯ КУРСКОЙ ОБЛАСТИ В ОТНОШЕНИИ ОБРАБОТКИ ПЕРСОНАЛЬНЫХ ДАННЫХ</w:t>
      </w:r>
    </w:p>
    <w:p w:rsidR="0029332F" w:rsidRPr="00CD4EDB" w:rsidRDefault="0029332F" w:rsidP="0029332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4ED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9332F" w:rsidRPr="00CD4EDB" w:rsidRDefault="0029332F" w:rsidP="00293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32F" w:rsidRDefault="0029332F" w:rsidP="0029332F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EDB">
        <w:rPr>
          <w:rFonts w:ascii="Times New Roman" w:hAnsi="Times New Roman" w:cs="Times New Roman"/>
          <w:sz w:val="28"/>
          <w:szCs w:val="28"/>
        </w:rPr>
        <w:t>Политика</w:t>
      </w:r>
      <w:r w:rsidRPr="00580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финансово-бюджетного контроля Курской области</w:t>
      </w:r>
      <w:r w:rsidRPr="00CD4EDB">
        <w:rPr>
          <w:rFonts w:ascii="Times New Roman" w:hAnsi="Times New Roman" w:cs="Times New Roman"/>
          <w:sz w:val="28"/>
          <w:szCs w:val="28"/>
        </w:rPr>
        <w:t xml:space="preserve"> в отношении обработки персональных данных (далее - Политика) подготовлена 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972DC">
        <w:rPr>
          <w:rFonts w:ascii="Times New Roman" w:hAnsi="Times New Roman" w:cs="Times New Roman"/>
          <w:sz w:val="28"/>
          <w:szCs w:val="28"/>
        </w:rPr>
        <w:t xml:space="preserve"> </w:t>
      </w:r>
      <w:r w:rsidRPr="00CD4EDB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D4ED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D4EDB">
        <w:rPr>
          <w:rFonts w:ascii="Times New Roman" w:hAnsi="Times New Roman" w:cs="Times New Roman"/>
          <w:sz w:val="28"/>
          <w:szCs w:val="28"/>
        </w:rPr>
        <w:t xml:space="preserve"> от 27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CD4EDB">
        <w:rPr>
          <w:rFonts w:ascii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D4EDB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4EDB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» с учетом </w:t>
      </w:r>
      <w:r w:rsidRPr="0029332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9332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 21.03.2012 № 211 «Об утверждении перечня мер, направленных на обеспечение выполнения обязанностей, предусмотренных Федеральным законом «О 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rFonts w:ascii="Times New Roman" w:hAnsi="Times New Roman" w:cs="Times New Roman"/>
          <w:sz w:val="28"/>
          <w:szCs w:val="28"/>
        </w:rPr>
        <w:t>, распоряжения Администрации Курской области от 30.08.2018 № 347-ра «Об утверждении Основных направлений политики информационной безопасности органов исполнительной власти Курской области»</w:t>
      </w:r>
      <w:r w:rsidRPr="00CD4EDB">
        <w:rPr>
          <w:rFonts w:ascii="Times New Roman" w:hAnsi="Times New Roman" w:cs="Times New Roman"/>
          <w:sz w:val="28"/>
          <w:szCs w:val="28"/>
        </w:rPr>
        <w:t xml:space="preserve"> и действует в отношении всех персональных данных, которые </w:t>
      </w:r>
      <w:r>
        <w:rPr>
          <w:rFonts w:ascii="Times New Roman" w:hAnsi="Times New Roman" w:cs="Times New Roman"/>
          <w:sz w:val="28"/>
          <w:szCs w:val="28"/>
        </w:rPr>
        <w:t>комитет финансово-бюджетного контроля Курской области (далее – Комитет)</w:t>
      </w:r>
      <w:r w:rsidRPr="00CD4EDB">
        <w:rPr>
          <w:rFonts w:ascii="Times New Roman" w:hAnsi="Times New Roman" w:cs="Times New Roman"/>
          <w:sz w:val="28"/>
          <w:szCs w:val="28"/>
        </w:rPr>
        <w:t xml:space="preserve"> может </w:t>
      </w:r>
      <w:r>
        <w:rPr>
          <w:rFonts w:ascii="Times New Roman" w:hAnsi="Times New Roman" w:cs="Times New Roman"/>
          <w:sz w:val="28"/>
          <w:szCs w:val="28"/>
        </w:rPr>
        <w:t>обрабатывать в целях выполнения возложенных на него полномочий</w:t>
      </w:r>
      <w:r w:rsidRPr="00CD4EDB">
        <w:rPr>
          <w:rFonts w:ascii="Times New Roman" w:hAnsi="Times New Roman" w:cs="Times New Roman"/>
          <w:sz w:val="28"/>
          <w:szCs w:val="28"/>
        </w:rPr>
        <w:t>.</w:t>
      </w:r>
    </w:p>
    <w:p w:rsidR="0029332F" w:rsidRPr="008846A0" w:rsidRDefault="0029332F" w:rsidP="0029332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6A0">
        <w:rPr>
          <w:rFonts w:ascii="Times New Roman" w:hAnsi="Times New Roman" w:cs="Times New Roman"/>
          <w:sz w:val="28"/>
          <w:szCs w:val="28"/>
        </w:rPr>
        <w:t>В целях настоящей Политики все понятия используются в их значении, установленном Федеральным законом от 27.07.2006 № 152-ФЗ «О персональных данных»</w:t>
      </w:r>
      <w:r w:rsidRPr="00134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Федеральный закон № 152-ФЗ)</w:t>
      </w:r>
      <w:r w:rsidRPr="008846A0">
        <w:rPr>
          <w:rFonts w:ascii="Times New Roman" w:hAnsi="Times New Roman" w:cs="Times New Roman"/>
          <w:sz w:val="28"/>
          <w:szCs w:val="28"/>
        </w:rPr>
        <w:t>.</w:t>
      </w:r>
    </w:p>
    <w:p w:rsidR="0029332F" w:rsidRDefault="0029332F" w:rsidP="0029332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846A0">
        <w:rPr>
          <w:rFonts w:ascii="Times New Roman" w:hAnsi="Times New Roman" w:cs="Times New Roman"/>
          <w:sz w:val="28"/>
          <w:szCs w:val="28"/>
        </w:rPr>
        <w:t>убъект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обладает следующими правами</w:t>
      </w:r>
      <w:r w:rsidRPr="008846A0">
        <w:rPr>
          <w:rFonts w:ascii="Times New Roman" w:hAnsi="Times New Roman" w:cs="Times New Roman"/>
          <w:sz w:val="28"/>
          <w:szCs w:val="28"/>
        </w:rPr>
        <w:t>:</w:t>
      </w:r>
    </w:p>
    <w:p w:rsidR="0029332F" w:rsidRDefault="0029332F" w:rsidP="0029332F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доступ к своим персональным данным;</w:t>
      </w:r>
    </w:p>
    <w:p w:rsidR="0029332F" w:rsidRDefault="0029332F" w:rsidP="0029332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3ED9">
        <w:rPr>
          <w:rFonts w:ascii="Times New Roman" w:hAnsi="Times New Roman" w:cs="Times New Roman"/>
          <w:sz w:val="28"/>
          <w:szCs w:val="28"/>
        </w:rPr>
        <w:t>получ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673ED9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73ED9">
        <w:rPr>
          <w:rFonts w:ascii="Times New Roman" w:hAnsi="Times New Roman" w:cs="Times New Roman"/>
          <w:sz w:val="28"/>
          <w:szCs w:val="28"/>
        </w:rPr>
        <w:t>, касающ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73ED9">
        <w:rPr>
          <w:rFonts w:ascii="Times New Roman" w:hAnsi="Times New Roman" w:cs="Times New Roman"/>
          <w:sz w:val="28"/>
          <w:szCs w:val="28"/>
        </w:rPr>
        <w:t>ся об</w:t>
      </w:r>
      <w:r>
        <w:rPr>
          <w:rFonts w:ascii="Times New Roman" w:hAnsi="Times New Roman" w:cs="Times New Roman"/>
          <w:sz w:val="28"/>
          <w:szCs w:val="28"/>
        </w:rPr>
        <w:t>работки его персональных данных;</w:t>
      </w:r>
    </w:p>
    <w:p w:rsidR="0029332F" w:rsidRPr="00AF5D51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51">
        <w:rPr>
          <w:rFonts w:ascii="Times New Roman" w:hAnsi="Times New Roman" w:cs="Times New Roman"/>
          <w:sz w:val="28"/>
          <w:szCs w:val="28"/>
        </w:rPr>
        <w:t>-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29332F" w:rsidRPr="00AF5D51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51">
        <w:rPr>
          <w:rFonts w:ascii="Times New Roman" w:hAnsi="Times New Roman" w:cs="Times New Roman"/>
          <w:sz w:val="28"/>
          <w:szCs w:val="28"/>
        </w:rPr>
        <w:t>-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данных;</w:t>
      </w:r>
    </w:p>
    <w:p w:rsidR="0029332F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5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Pr="00AF5D51">
        <w:rPr>
          <w:rFonts w:ascii="Times New Roman" w:hAnsi="Times New Roman" w:cs="Times New Roman"/>
          <w:sz w:val="28"/>
          <w:szCs w:val="28"/>
        </w:rPr>
        <w:t xml:space="preserve"> защиту своих прав и законных интересов, в том числе на возмещение убытков и (или) компенсацию мора</w:t>
      </w:r>
      <w:r>
        <w:rPr>
          <w:rFonts w:ascii="Times New Roman" w:hAnsi="Times New Roman" w:cs="Times New Roman"/>
          <w:sz w:val="28"/>
          <w:szCs w:val="28"/>
        </w:rPr>
        <w:t>льного вреда в судебном порядке;</w:t>
      </w:r>
    </w:p>
    <w:p w:rsidR="0029332F" w:rsidRPr="008846A0" w:rsidRDefault="0029332F" w:rsidP="0029332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иные права, предусмотренные Федеральным законом № 152-ФЗ</w:t>
      </w:r>
      <w:r w:rsidRPr="008846A0">
        <w:rPr>
          <w:rFonts w:ascii="Times New Roman" w:hAnsi="Times New Roman" w:cs="Times New Roman"/>
          <w:sz w:val="28"/>
          <w:szCs w:val="28"/>
        </w:rPr>
        <w:t>.</w:t>
      </w:r>
    </w:p>
    <w:p w:rsidR="0029332F" w:rsidRPr="00AF5D51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Комитет, как оператор </w:t>
      </w:r>
      <w:r w:rsidRPr="008846A0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, имеет право и обязан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F5D51">
        <w:rPr>
          <w:rFonts w:ascii="Times New Roman" w:hAnsi="Times New Roman" w:cs="Times New Roman"/>
          <w:sz w:val="28"/>
          <w:szCs w:val="28"/>
        </w:rPr>
        <w:t>ринимать меры, необходимые и достаточные для обеспечения выполнения обязанностей, пред</w:t>
      </w:r>
      <w:r>
        <w:rPr>
          <w:rFonts w:ascii="Times New Roman" w:hAnsi="Times New Roman" w:cs="Times New Roman"/>
          <w:sz w:val="28"/>
          <w:szCs w:val="28"/>
        </w:rPr>
        <w:t xml:space="preserve">усмотренных Федеральным законом </w:t>
      </w:r>
      <w:r w:rsidRPr="00AF5D51">
        <w:rPr>
          <w:rFonts w:ascii="Times New Roman" w:hAnsi="Times New Roman" w:cs="Times New Roman"/>
          <w:sz w:val="28"/>
          <w:szCs w:val="28"/>
        </w:rPr>
        <w:t>№ 152-ФЗ и принятыми в соответствии с ним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32F" w:rsidRPr="00C2170F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Pr="00C2170F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29332F" w:rsidRPr="000D1405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C2170F">
        <w:rPr>
          <w:rFonts w:ascii="Times New Roman" w:hAnsi="Times New Roman" w:cs="Times New Roman"/>
          <w:sz w:val="28"/>
          <w:szCs w:val="28"/>
        </w:rPr>
        <w:t xml:space="preserve">- предоставлять субъекту персональных данных информацию, предусмотренную </w:t>
      </w:r>
      <w:r>
        <w:rPr>
          <w:rFonts w:ascii="Times New Roman" w:hAnsi="Times New Roman" w:cs="Times New Roman"/>
          <w:sz w:val="28"/>
          <w:szCs w:val="28"/>
        </w:rPr>
        <w:t>Федеральным законом № 152-ФЗ;</w:t>
      </w:r>
    </w:p>
    <w:p w:rsidR="0029332F" w:rsidRDefault="0029332F" w:rsidP="00293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217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 сборе персональных данных, в том числе посредством информационно-телекоммуникационной сети </w:t>
      </w:r>
      <w:r w:rsidRPr="00985482">
        <w:rPr>
          <w:rFonts w:ascii="Times New Roman" w:hAnsi="Times New Roman" w:cs="Times New Roman"/>
          <w:sz w:val="28"/>
          <w:szCs w:val="28"/>
        </w:rPr>
        <w:t>«Интернет</w:t>
      </w:r>
      <w:r>
        <w:rPr>
          <w:rFonts w:ascii="Times New Roman" w:hAnsi="Times New Roman" w:cs="Times New Roman"/>
          <w:sz w:val="28"/>
          <w:szCs w:val="28"/>
        </w:rPr>
        <w:t xml:space="preserve">»,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</w:t>
      </w:r>
      <w:hyperlink r:id="rId5" w:history="1">
        <w:r w:rsidRPr="00C2170F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C2170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C2170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C2170F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2170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2170F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C2170F">
          <w:rPr>
            <w:rFonts w:ascii="Times New Roman" w:hAnsi="Times New Roman" w:cs="Times New Roman"/>
            <w:sz w:val="28"/>
            <w:szCs w:val="28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2170F">
          <w:rPr>
            <w:rFonts w:ascii="Times New Roman" w:hAnsi="Times New Roman" w:cs="Times New Roman"/>
            <w:sz w:val="28"/>
            <w:szCs w:val="28"/>
          </w:rPr>
          <w:t>части 1 статьи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337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152-ФЗ;</w:t>
      </w:r>
    </w:p>
    <w:p w:rsidR="0029332F" w:rsidRPr="008846A0" w:rsidRDefault="0029332F" w:rsidP="0029332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иные обязанности, предусмотренные Федеральным законом № 152-ФЗ</w:t>
      </w:r>
      <w:r w:rsidRPr="008846A0">
        <w:rPr>
          <w:rFonts w:ascii="Times New Roman" w:hAnsi="Times New Roman" w:cs="Times New Roman"/>
          <w:sz w:val="28"/>
          <w:szCs w:val="28"/>
        </w:rPr>
        <w:t>.</w:t>
      </w:r>
    </w:p>
    <w:p w:rsidR="0029332F" w:rsidRPr="00AF5D51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Pr="00AF5D51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29332F" w:rsidRPr="00AF5D51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51">
        <w:rPr>
          <w:rFonts w:ascii="Times New Roman" w:hAnsi="Times New Roman" w:cs="Times New Roman"/>
          <w:sz w:val="28"/>
          <w:szCs w:val="28"/>
        </w:rPr>
        <w:t>- обрабатывать персональные данные в порядке и в случаях, предусмотренных Федеральным законом № 152-ФЗ;</w:t>
      </w:r>
    </w:p>
    <w:p w:rsidR="0029332F" w:rsidRPr="000D1405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AF5D51">
        <w:rPr>
          <w:rFonts w:ascii="Times New Roman" w:hAnsi="Times New Roman" w:cs="Times New Roman"/>
          <w:sz w:val="28"/>
          <w:szCs w:val="28"/>
        </w:rPr>
        <w:t>- отказывать в предоставлении персональных данных в случаях, предусмотренных законодательством;</w:t>
      </w:r>
    </w:p>
    <w:p w:rsidR="0029332F" w:rsidRPr="008846A0" w:rsidRDefault="0029332F" w:rsidP="0029332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обладает иными правами, предусмотренными Федеральным законом № 152-ФЗ</w:t>
      </w:r>
      <w:r w:rsidRPr="008846A0">
        <w:rPr>
          <w:rFonts w:ascii="Times New Roman" w:hAnsi="Times New Roman" w:cs="Times New Roman"/>
          <w:sz w:val="28"/>
          <w:szCs w:val="28"/>
        </w:rPr>
        <w:t>.</w:t>
      </w:r>
    </w:p>
    <w:p w:rsidR="0029332F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E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D4EDB">
        <w:rPr>
          <w:rFonts w:ascii="Times New Roman" w:hAnsi="Times New Roman" w:cs="Times New Roman"/>
          <w:sz w:val="28"/>
          <w:szCs w:val="28"/>
        </w:rPr>
        <w:t>. Политика распространяется на персональные данные, полученные как до, так и после подписания настоящей Политики.</w:t>
      </w:r>
    </w:p>
    <w:p w:rsidR="0029332F" w:rsidRDefault="0029332F" w:rsidP="002933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332F" w:rsidRPr="009F4517" w:rsidRDefault="0029332F" w:rsidP="002933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4517">
        <w:rPr>
          <w:rFonts w:ascii="Times New Roman" w:hAnsi="Times New Roman" w:cs="Times New Roman"/>
          <w:sz w:val="28"/>
          <w:szCs w:val="28"/>
        </w:rPr>
        <w:t xml:space="preserve">. Цели </w:t>
      </w:r>
      <w:r>
        <w:rPr>
          <w:rFonts w:ascii="Times New Roman" w:hAnsi="Times New Roman" w:cs="Times New Roman"/>
          <w:sz w:val="28"/>
          <w:szCs w:val="28"/>
        </w:rPr>
        <w:t>сбора</w:t>
      </w:r>
      <w:r w:rsidRPr="009F4517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</w:p>
    <w:p w:rsidR="0029332F" w:rsidRPr="009F4517" w:rsidRDefault="0029332F" w:rsidP="0029332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9332F" w:rsidRPr="009F4517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451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9F4517">
        <w:rPr>
          <w:rFonts w:ascii="Times New Roman" w:hAnsi="Times New Roman" w:cs="Times New Roman"/>
          <w:sz w:val="28"/>
          <w:szCs w:val="28"/>
        </w:rPr>
        <w:t xml:space="preserve"> обрабатывает персональные данные субъектов персональных данных в следующих целях: выполнения возложенных на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9F4517">
        <w:rPr>
          <w:rFonts w:ascii="Times New Roman" w:hAnsi="Times New Roman" w:cs="Times New Roman"/>
          <w:sz w:val="28"/>
          <w:szCs w:val="28"/>
        </w:rPr>
        <w:t xml:space="preserve"> функций, полномочий и обязанностей, в том числе касающихся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внутреннего государственного финансового контроля, анализа осуществления внутреннего финансового контроля и внутреннего финансового аудита, </w:t>
      </w:r>
      <w:r w:rsidRPr="009F4517">
        <w:rPr>
          <w:rFonts w:ascii="Times New Roman" w:hAnsi="Times New Roman" w:cs="Times New Roman"/>
          <w:sz w:val="28"/>
          <w:szCs w:val="28"/>
        </w:rPr>
        <w:t xml:space="preserve">кадровой работы, </w:t>
      </w:r>
      <w:r>
        <w:rPr>
          <w:rFonts w:ascii="Times New Roman" w:hAnsi="Times New Roman" w:cs="Times New Roman"/>
          <w:sz w:val="28"/>
          <w:szCs w:val="28"/>
        </w:rPr>
        <w:t>оформления фактов хозяйственной жизни, бюджетного</w:t>
      </w:r>
      <w:r w:rsidRPr="009F4517">
        <w:rPr>
          <w:rFonts w:ascii="Times New Roman" w:hAnsi="Times New Roman" w:cs="Times New Roman"/>
          <w:sz w:val="28"/>
          <w:szCs w:val="28"/>
        </w:rPr>
        <w:t xml:space="preserve"> учета,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производства по делам об административных правонарушениях, рассмотрения обращений граждан и иных целях для </w:t>
      </w:r>
      <w:r w:rsidRPr="003376E0">
        <w:rPr>
          <w:rFonts w:ascii="Times New Roman" w:hAnsi="Times New Roman" w:cs="Times New Roman"/>
          <w:sz w:val="28"/>
          <w:szCs w:val="28"/>
        </w:rPr>
        <w:t xml:space="preserve">выполнения возложенных на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3376E0">
        <w:rPr>
          <w:rFonts w:ascii="Times New Roman" w:hAnsi="Times New Roman" w:cs="Times New Roman"/>
          <w:sz w:val="28"/>
          <w:szCs w:val="28"/>
        </w:rPr>
        <w:t xml:space="preserve"> функций, полномочий и обязанностей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32F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32F" w:rsidRPr="009F4517" w:rsidRDefault="0029332F" w:rsidP="002933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4517">
        <w:rPr>
          <w:rFonts w:ascii="Times New Roman" w:hAnsi="Times New Roman" w:cs="Times New Roman"/>
          <w:sz w:val="28"/>
          <w:szCs w:val="28"/>
        </w:rPr>
        <w:t>3. Правовые основания обработки персональных данных</w:t>
      </w:r>
    </w:p>
    <w:p w:rsidR="0029332F" w:rsidRPr="009F4517" w:rsidRDefault="0029332F" w:rsidP="002933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332F" w:rsidRPr="009F4517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517">
        <w:rPr>
          <w:rFonts w:ascii="Times New Roman" w:hAnsi="Times New Roman" w:cs="Times New Roman"/>
          <w:sz w:val="28"/>
          <w:szCs w:val="28"/>
        </w:rPr>
        <w:t>3.1. Правовы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F4517">
        <w:rPr>
          <w:rFonts w:ascii="Times New Roman" w:hAnsi="Times New Roman" w:cs="Times New Roman"/>
          <w:sz w:val="28"/>
          <w:szCs w:val="28"/>
        </w:rPr>
        <w:t xml:space="preserve"> основания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9F4517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9F4517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F4517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Pr="009F4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(далее – КоАП РФ), </w:t>
      </w:r>
      <w:r w:rsidRPr="00271B84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71B84">
        <w:rPr>
          <w:rFonts w:ascii="Times New Roman" w:hAnsi="Times New Roman" w:cs="Times New Roman"/>
          <w:sz w:val="28"/>
          <w:szCs w:val="28"/>
        </w:rPr>
        <w:t xml:space="preserve"> закон от 27.07.2004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1B84">
        <w:rPr>
          <w:rFonts w:ascii="Times New Roman" w:hAnsi="Times New Roman" w:cs="Times New Roman"/>
          <w:sz w:val="28"/>
          <w:szCs w:val="28"/>
        </w:rPr>
        <w:t xml:space="preserve">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1B84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726FFC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26FFC">
        <w:rPr>
          <w:rFonts w:ascii="Times New Roman" w:hAnsi="Times New Roman" w:cs="Times New Roman"/>
          <w:sz w:val="28"/>
          <w:szCs w:val="28"/>
        </w:rPr>
        <w:t xml:space="preserve"> закон от 06.12.2011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26FFC">
        <w:rPr>
          <w:rFonts w:ascii="Times New Roman" w:hAnsi="Times New Roman" w:cs="Times New Roman"/>
          <w:sz w:val="28"/>
          <w:szCs w:val="28"/>
        </w:rPr>
        <w:t xml:space="preserve"> 402-ФЗ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26FFC">
        <w:rPr>
          <w:rFonts w:ascii="Times New Roman" w:hAnsi="Times New Roman" w:cs="Times New Roman"/>
          <w:sz w:val="28"/>
          <w:szCs w:val="28"/>
        </w:rPr>
        <w:t>О бухгалтерском учете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821DE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821DE">
        <w:rPr>
          <w:rFonts w:ascii="Times New Roman" w:hAnsi="Times New Roman" w:cs="Times New Roman"/>
          <w:sz w:val="28"/>
          <w:szCs w:val="28"/>
        </w:rPr>
        <w:t xml:space="preserve"> закон от 02.05.2006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821DE">
        <w:rPr>
          <w:rFonts w:ascii="Times New Roman" w:hAnsi="Times New Roman" w:cs="Times New Roman"/>
          <w:sz w:val="28"/>
          <w:szCs w:val="28"/>
        </w:rPr>
        <w:t xml:space="preserve"> 59-ФЗ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821DE">
        <w:rPr>
          <w:rFonts w:ascii="Times New Roman" w:hAnsi="Times New Roman" w:cs="Times New Roman"/>
          <w:sz w:val="28"/>
          <w:szCs w:val="28"/>
        </w:rPr>
        <w:t xml:space="preserve">О порядке рассмотрения </w:t>
      </w:r>
      <w:r w:rsidRPr="00A821DE">
        <w:rPr>
          <w:rFonts w:ascii="Times New Roman" w:hAnsi="Times New Roman" w:cs="Times New Roman"/>
          <w:sz w:val="28"/>
          <w:szCs w:val="28"/>
        </w:rPr>
        <w:lastRenderedPageBreak/>
        <w:t>обращений гражда</w:t>
      </w:r>
      <w:r>
        <w:rPr>
          <w:rFonts w:ascii="Times New Roman" w:hAnsi="Times New Roman" w:cs="Times New Roman"/>
          <w:sz w:val="28"/>
          <w:szCs w:val="28"/>
        </w:rPr>
        <w:t xml:space="preserve">н Российской Федерации», </w:t>
      </w:r>
      <w:r w:rsidRPr="00271B84">
        <w:rPr>
          <w:rFonts w:ascii="Times New Roman" w:hAnsi="Times New Roman" w:cs="Times New Roman"/>
          <w:sz w:val="28"/>
          <w:szCs w:val="28"/>
        </w:rPr>
        <w:t xml:space="preserve">Закон Курской области от 18.06.2014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1B84">
        <w:rPr>
          <w:rFonts w:ascii="Times New Roman" w:hAnsi="Times New Roman" w:cs="Times New Roman"/>
          <w:sz w:val="28"/>
          <w:szCs w:val="28"/>
        </w:rPr>
        <w:t xml:space="preserve"> 42-ЗКО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71B84">
        <w:rPr>
          <w:rFonts w:ascii="Times New Roman" w:hAnsi="Times New Roman" w:cs="Times New Roman"/>
          <w:sz w:val="28"/>
          <w:szCs w:val="28"/>
        </w:rPr>
        <w:t>О государственной гражданской службе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271B8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1B8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Pr="00271B84">
        <w:rPr>
          <w:rFonts w:ascii="Times New Roman" w:hAnsi="Times New Roman" w:cs="Times New Roman"/>
          <w:sz w:val="28"/>
          <w:szCs w:val="28"/>
        </w:rPr>
        <w:t>е финансово-бюджетного контроля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1B84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ное п</w:t>
      </w:r>
      <w:r w:rsidRPr="00271B8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71B84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 от 08.10.2013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71B84">
        <w:rPr>
          <w:rFonts w:ascii="Times New Roman" w:hAnsi="Times New Roman" w:cs="Times New Roman"/>
          <w:sz w:val="28"/>
          <w:szCs w:val="28"/>
        </w:rPr>
        <w:t xml:space="preserve"> 426-пг</w:t>
      </w:r>
      <w:r>
        <w:rPr>
          <w:rFonts w:ascii="Times New Roman" w:hAnsi="Times New Roman" w:cs="Times New Roman"/>
          <w:sz w:val="28"/>
          <w:szCs w:val="28"/>
        </w:rPr>
        <w:t>, договоры, заключаемые Комитетом с субъектами персональных данных, согласие на обработку персональных данных.</w:t>
      </w:r>
    </w:p>
    <w:p w:rsidR="0029332F" w:rsidRPr="009F4517" w:rsidRDefault="0029332F" w:rsidP="002933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332F" w:rsidRDefault="00E6282C" w:rsidP="00E628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9332F">
        <w:rPr>
          <w:rFonts w:ascii="Times New Roman" w:hAnsi="Times New Roman" w:cs="Times New Roman"/>
          <w:sz w:val="28"/>
          <w:szCs w:val="28"/>
        </w:rPr>
        <w:t xml:space="preserve">Объем и категории </w:t>
      </w:r>
      <w:r w:rsidR="0029332F" w:rsidRPr="00271B84">
        <w:rPr>
          <w:rFonts w:ascii="Times New Roman" w:hAnsi="Times New Roman" w:cs="Times New Roman"/>
          <w:sz w:val="28"/>
          <w:szCs w:val="28"/>
        </w:rPr>
        <w:t>обрабатываемых персональных данных,</w:t>
      </w:r>
    </w:p>
    <w:p w:rsidR="0029332F" w:rsidRPr="00271B84" w:rsidRDefault="0029332F" w:rsidP="00E628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1B84">
        <w:rPr>
          <w:rFonts w:ascii="Times New Roman" w:hAnsi="Times New Roman" w:cs="Times New Roman"/>
          <w:sz w:val="28"/>
          <w:szCs w:val="28"/>
        </w:rPr>
        <w:t>категории субъектов персональных данных</w:t>
      </w:r>
    </w:p>
    <w:p w:rsidR="0029332F" w:rsidRPr="00CD4EDB" w:rsidRDefault="0029332F" w:rsidP="002933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9332F" w:rsidRDefault="0029332F" w:rsidP="00293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D4EDB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Содержание и объем обрабатываемых Комитетом персональных данных определяются в соответствии с конкретными целями их обработки и не должны быть избыточными по отношению к целям их обработки.</w:t>
      </w:r>
    </w:p>
    <w:p w:rsidR="0029332F" w:rsidRPr="00CD4EDB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D4ED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Pr="00CD4EDB">
        <w:rPr>
          <w:rFonts w:ascii="Times New Roman" w:hAnsi="Times New Roman" w:cs="Times New Roman"/>
          <w:sz w:val="28"/>
          <w:szCs w:val="28"/>
        </w:rPr>
        <w:t xml:space="preserve"> обрабатывает персональные данные следующих категорий субъектов персональных данных: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EDB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>, замещающих должности государственной гражданской службы Курской области в</w:t>
      </w:r>
      <w:r w:rsidRPr="00CD4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Комитете</w:t>
      </w:r>
      <w:r w:rsidRPr="00CD4ED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близких родственников </w:t>
      </w:r>
      <w:r w:rsidRPr="00E379AD"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  <w:r w:rsidRPr="00FB206E">
        <w:rPr>
          <w:rFonts w:ascii="Times New Roman" w:hAnsi="Times New Roman" w:cs="Times New Roman"/>
          <w:sz w:val="28"/>
          <w:szCs w:val="28"/>
        </w:rPr>
        <w:t>, замещающих должности государственной гражданской службы Курской области в</w:t>
      </w:r>
      <w:r w:rsidRPr="00E37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Комитете; служащих Комитета; кандидатов, претендующих на замещение вакантных должностей государственной гражданской службы Курской области и кандидатов на включение в кадровый резерв для замещения вакантных должностей государственной гражданской службы Курской области; уволенных из Комитета; граждан Российской Федерации, обратившихся в Комитет; лиц, в отношении которых возбуждается и ведется производство по делам об административных правонарушениях; </w:t>
      </w:r>
      <w:r w:rsidRPr="00CD4EDB">
        <w:rPr>
          <w:rFonts w:ascii="Times New Roman" w:hAnsi="Times New Roman" w:cs="Times New Roman"/>
          <w:sz w:val="28"/>
          <w:szCs w:val="28"/>
        </w:rPr>
        <w:t>агентов (контрагентов) при заключении договоров гражданско-правового характера</w:t>
      </w:r>
      <w:r>
        <w:rPr>
          <w:rFonts w:ascii="Times New Roman" w:hAnsi="Times New Roman" w:cs="Times New Roman"/>
          <w:sz w:val="28"/>
          <w:szCs w:val="28"/>
        </w:rPr>
        <w:t>; иных субъектов персональных данных, обработка персональных данных которых ведется в соответствии с требованиями федерального и регионального законодательства.</w:t>
      </w:r>
    </w:p>
    <w:p w:rsidR="0029332F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В целях, указанных в пункте 2.1. Политики, Комитетом обрабатываются следующие персональные данные </w:t>
      </w:r>
      <w:r w:rsidRPr="00F03999">
        <w:rPr>
          <w:rFonts w:ascii="Times New Roman" w:hAnsi="Times New Roman" w:cs="Times New Roman"/>
          <w:sz w:val="28"/>
          <w:szCs w:val="28"/>
        </w:rPr>
        <w:t>категорий субъектов персональных данных</w:t>
      </w:r>
      <w:r>
        <w:rPr>
          <w:rFonts w:ascii="Times New Roman" w:hAnsi="Times New Roman" w:cs="Times New Roman"/>
          <w:sz w:val="28"/>
          <w:szCs w:val="28"/>
        </w:rPr>
        <w:t>, указанных в пункте 4.2. Политики:</w:t>
      </w:r>
    </w:p>
    <w:p w:rsidR="0029332F" w:rsidRPr="00276A47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47">
        <w:rPr>
          <w:rFonts w:ascii="Times New Roman" w:hAnsi="Times New Roman" w:cs="Times New Roman"/>
          <w:sz w:val="28"/>
          <w:szCs w:val="28"/>
        </w:rPr>
        <w:t xml:space="preserve">фамилия, имя, отчество; число, месяц, год рождения; место рождения; гражданство; вид, серия, номер документа, удостоверяющего личность, наименование органа, выдавшего его, дата выдачи; адрес места жительства (адрес регистрации, фактического проживания); номер контактного телефона; реквизиты страхового свидетельства государственного пенсионного страхования; идентификационный номер налогоплательщика; реквизиты страхового медицинского полиса обязательного медицинского страхования; реквизиты свидетельства государственно регистрации актов гражданского состояния; семейное положение, состав семьи и сведения о близких родственниках (в том числе бывших); сведения о трудовой  деятельности; сведения о воинском учете и реквизиты документов воинского учета; сведения об образовании; сведения об ученой степени; информация о владении иностранными языками, степень владения; медицинское заключение об отсутствии у гражданина заболевания; фотография; сведения о пребывании за границей; информация о классном чине </w:t>
      </w:r>
      <w:r w:rsidRPr="00276A4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гражданской службы; информация о наличии или отсутствии судимости; государственные награды, иные награды и знаки отличия; сведения о профессиональной переподготовке и (или) повышении квалификации; сведения о доходах, об имуществе и обязательствах имущественного характера; номер расчетного счета; номер банковской карты; адрес электронной почты; пол; иные персональные данные, необходимые для достижения целей, предусмотренных пунктом 2.1 настоящей Политики. </w:t>
      </w:r>
    </w:p>
    <w:p w:rsidR="0029332F" w:rsidRPr="00CD4EDB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32F" w:rsidRPr="00CD4EDB" w:rsidRDefault="0029332F" w:rsidP="0029332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D4EDB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CD4EDB">
        <w:rPr>
          <w:rFonts w:ascii="Times New Roman" w:hAnsi="Times New Roman" w:cs="Times New Roman"/>
          <w:sz w:val="28"/>
          <w:szCs w:val="28"/>
        </w:rPr>
        <w:t xml:space="preserve"> и условия обработки персональных данных</w:t>
      </w:r>
    </w:p>
    <w:p w:rsidR="0029332F" w:rsidRPr="00CD4EDB" w:rsidRDefault="0029332F" w:rsidP="00293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32F" w:rsidRPr="0087636E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87636E">
        <w:rPr>
          <w:rFonts w:ascii="Times New Roman" w:hAnsi="Times New Roman" w:cs="Times New Roman"/>
          <w:sz w:val="28"/>
          <w:szCs w:val="28"/>
        </w:rPr>
        <w:t xml:space="preserve">Получение и обработка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 (предоставление </w:t>
      </w:r>
      <w:r>
        <w:rPr>
          <w:rFonts w:ascii="Times New Roman" w:hAnsi="Times New Roman" w:cs="Times New Roman"/>
          <w:sz w:val="28"/>
          <w:szCs w:val="28"/>
        </w:rPr>
        <w:t>Комитету</w:t>
      </w:r>
      <w:r w:rsidRPr="0087636E">
        <w:rPr>
          <w:rFonts w:ascii="Times New Roman" w:hAnsi="Times New Roman" w:cs="Times New Roman"/>
          <w:sz w:val="28"/>
          <w:szCs w:val="28"/>
        </w:rPr>
        <w:t xml:space="preserve"> доступа к обработке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) в случаях, предусмотренных Федеральным законом № 152-ФЗ, осуществляется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87636E">
        <w:rPr>
          <w:rFonts w:ascii="Times New Roman" w:hAnsi="Times New Roman" w:cs="Times New Roman"/>
          <w:sz w:val="28"/>
          <w:szCs w:val="28"/>
        </w:rPr>
        <w:t xml:space="preserve"> с письменного согласия субъекта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E6282C">
        <w:rPr>
          <w:rFonts w:ascii="Times New Roman" w:hAnsi="Times New Roman" w:cs="Times New Roman"/>
          <w:sz w:val="28"/>
          <w:szCs w:val="28"/>
        </w:rPr>
        <w:t xml:space="preserve"> (Приложение №1)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32F" w:rsidRPr="0087636E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36E">
        <w:rPr>
          <w:rFonts w:ascii="Times New Roman" w:hAnsi="Times New Roman" w:cs="Times New Roman"/>
          <w:sz w:val="28"/>
          <w:szCs w:val="28"/>
        </w:rPr>
        <w:t xml:space="preserve">Согласие на обработку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 дается субъектом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 или его представителем в любой позволяющей подтвердить факт его получения форме, если иное не установлено Федеральным законом № 152-ФЗ. </w:t>
      </w:r>
    </w:p>
    <w:p w:rsidR="0029332F" w:rsidRPr="0087636E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Pr="0087636E">
        <w:rPr>
          <w:rFonts w:ascii="Times New Roman" w:hAnsi="Times New Roman" w:cs="Times New Roman"/>
          <w:sz w:val="28"/>
          <w:szCs w:val="28"/>
        </w:rPr>
        <w:t xml:space="preserve"> вправе обрабатывать </w:t>
      </w:r>
      <w:r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87636E">
        <w:rPr>
          <w:rFonts w:ascii="Times New Roman" w:hAnsi="Times New Roman" w:cs="Times New Roman"/>
          <w:sz w:val="28"/>
          <w:szCs w:val="28"/>
        </w:rPr>
        <w:t xml:space="preserve"> без согласия субъекта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 </w:t>
      </w:r>
      <w:r w:rsidRPr="0087636E">
        <w:rPr>
          <w:rFonts w:ascii="Times New Roman" w:hAnsi="Times New Roman" w:cs="Times New Roman"/>
          <w:sz w:val="28"/>
          <w:szCs w:val="28"/>
        </w:rPr>
        <w:t>(или при отзыве субъектом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 согласия 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>) при наличии законных оснований, указанных в Федеральн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7636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7636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36E">
        <w:rPr>
          <w:rFonts w:ascii="Times New Roman" w:hAnsi="Times New Roman" w:cs="Times New Roman"/>
          <w:sz w:val="28"/>
          <w:szCs w:val="28"/>
        </w:rPr>
        <w:t>152-ФЗ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32F" w:rsidRPr="0087636E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Персональные данные </w:t>
      </w:r>
      <w:r w:rsidRPr="0087636E">
        <w:rPr>
          <w:rFonts w:ascii="Times New Roman" w:hAnsi="Times New Roman" w:cs="Times New Roman"/>
          <w:sz w:val="28"/>
          <w:szCs w:val="28"/>
        </w:rPr>
        <w:t xml:space="preserve">субъекта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 могут быть получены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87636E">
        <w:rPr>
          <w:rFonts w:ascii="Times New Roman" w:hAnsi="Times New Roman" w:cs="Times New Roman"/>
          <w:sz w:val="28"/>
          <w:szCs w:val="28"/>
        </w:rPr>
        <w:t xml:space="preserve"> от ли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87636E">
        <w:rPr>
          <w:rFonts w:ascii="Times New Roman" w:hAnsi="Times New Roman" w:cs="Times New Roman"/>
          <w:sz w:val="28"/>
          <w:szCs w:val="28"/>
        </w:rPr>
        <w:t>а, не являющегося субъектом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, при условии предоставления подтверждения наличия оснований, указанных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7636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7636E">
        <w:rPr>
          <w:rFonts w:ascii="Times New Roman" w:hAnsi="Times New Roman" w:cs="Times New Roman"/>
          <w:sz w:val="28"/>
          <w:szCs w:val="28"/>
        </w:rPr>
        <w:t>м закон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7636E">
        <w:rPr>
          <w:rFonts w:ascii="Times New Roman" w:hAnsi="Times New Roman" w:cs="Times New Roman"/>
          <w:sz w:val="28"/>
          <w:szCs w:val="28"/>
        </w:rPr>
        <w:t>№ 152-ФЗ или иных оснований, предусмотренных законодательством Росс</w:t>
      </w:r>
      <w:r>
        <w:rPr>
          <w:rFonts w:ascii="Times New Roman" w:hAnsi="Times New Roman" w:cs="Times New Roman"/>
          <w:sz w:val="28"/>
          <w:szCs w:val="28"/>
        </w:rPr>
        <w:t>ийской Федерации.</w:t>
      </w:r>
    </w:p>
    <w:p w:rsidR="0029332F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36E">
        <w:rPr>
          <w:rFonts w:ascii="Times New Roman" w:hAnsi="Times New Roman" w:cs="Times New Roman"/>
          <w:sz w:val="28"/>
          <w:szCs w:val="28"/>
        </w:rPr>
        <w:t xml:space="preserve">Право доступа к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персональным данным </w:t>
      </w:r>
      <w:r w:rsidRPr="0087636E">
        <w:rPr>
          <w:rFonts w:ascii="Times New Roman" w:hAnsi="Times New Roman" w:cs="Times New Roman"/>
          <w:sz w:val="28"/>
          <w:szCs w:val="28"/>
        </w:rPr>
        <w:t xml:space="preserve">субъектов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 на бумажных и электронных носителях имеют работники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87636E">
        <w:rPr>
          <w:rFonts w:ascii="Times New Roman" w:hAnsi="Times New Roman" w:cs="Times New Roman"/>
          <w:sz w:val="28"/>
          <w:szCs w:val="28"/>
        </w:rPr>
        <w:t xml:space="preserve"> в соответствии с их должностными обязанностями </w:t>
      </w:r>
      <w:r w:rsidRPr="00742EC1">
        <w:rPr>
          <w:rFonts w:ascii="Times New Roman" w:hAnsi="Times New Roman" w:cs="Times New Roman"/>
          <w:sz w:val="28"/>
          <w:szCs w:val="28"/>
        </w:rPr>
        <w:t xml:space="preserve">и в порядке, регламентируемом </w:t>
      </w:r>
      <w:r>
        <w:rPr>
          <w:rFonts w:ascii="Times New Roman" w:hAnsi="Times New Roman" w:cs="Times New Roman"/>
          <w:sz w:val="28"/>
          <w:szCs w:val="28"/>
        </w:rPr>
        <w:t>правовыми актами</w:t>
      </w:r>
      <w:r w:rsidRPr="008763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332F" w:rsidRPr="0087636E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87636E">
        <w:rPr>
          <w:rFonts w:ascii="Times New Roman" w:hAnsi="Times New Roman" w:cs="Times New Roman"/>
          <w:sz w:val="28"/>
          <w:szCs w:val="28"/>
        </w:rPr>
        <w:t xml:space="preserve">Передача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 между пользователями ресурса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, предусматривающего передачу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 только между работниками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87636E">
        <w:rPr>
          <w:rFonts w:ascii="Times New Roman" w:hAnsi="Times New Roman" w:cs="Times New Roman"/>
          <w:sz w:val="28"/>
          <w:szCs w:val="28"/>
        </w:rPr>
        <w:t xml:space="preserve">, имеющими доступ к </w:t>
      </w:r>
      <w:r>
        <w:rPr>
          <w:rFonts w:ascii="Times New Roman" w:hAnsi="Times New Roman" w:cs="Times New Roman"/>
          <w:sz w:val="28"/>
          <w:szCs w:val="28"/>
        </w:rPr>
        <w:t>персональным данным</w:t>
      </w:r>
      <w:r w:rsidRPr="0087636E">
        <w:rPr>
          <w:rFonts w:ascii="Times New Roman" w:hAnsi="Times New Roman" w:cs="Times New Roman"/>
          <w:sz w:val="28"/>
          <w:szCs w:val="28"/>
        </w:rPr>
        <w:t xml:space="preserve">, осуществляется в рабочем порядке с учетом технологии работы с соответствующим ресурсом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>.</w:t>
      </w:r>
    </w:p>
    <w:p w:rsidR="0029332F" w:rsidRPr="0087636E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36E">
        <w:rPr>
          <w:rFonts w:ascii="Times New Roman" w:hAnsi="Times New Roman" w:cs="Times New Roman"/>
          <w:sz w:val="28"/>
          <w:szCs w:val="28"/>
        </w:rPr>
        <w:t xml:space="preserve">Передача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 субъектов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 третьим лицам осуществляется в соответствии с требованиями действующего законодательства.</w:t>
      </w:r>
    </w:p>
    <w:p w:rsidR="0029332F" w:rsidRPr="0087636E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Pr="0087636E">
        <w:rPr>
          <w:rFonts w:ascii="Times New Roman" w:hAnsi="Times New Roman" w:cs="Times New Roman"/>
          <w:sz w:val="28"/>
          <w:szCs w:val="28"/>
        </w:rPr>
        <w:t xml:space="preserve"> вправе осуществить передачу (поручить обработку)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 третьей стороне с согласия субъекта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 и в иных случаях, предусмотренных действующим законодательством Российской Федерации, на основании заключаемого с этой стороной договора (далее - Поручение). В указанном Поручении определяется перечень действий (операций) с </w:t>
      </w:r>
      <w:r>
        <w:rPr>
          <w:rFonts w:ascii="Times New Roman" w:hAnsi="Times New Roman" w:cs="Times New Roman"/>
          <w:sz w:val="28"/>
          <w:szCs w:val="28"/>
        </w:rPr>
        <w:t>персональными данными</w:t>
      </w:r>
      <w:r w:rsidRPr="0087636E">
        <w:rPr>
          <w:rFonts w:ascii="Times New Roman" w:hAnsi="Times New Roman" w:cs="Times New Roman"/>
          <w:sz w:val="28"/>
          <w:szCs w:val="28"/>
        </w:rPr>
        <w:t xml:space="preserve">, которые будут совершаться обработчиком, цели </w:t>
      </w:r>
      <w:r w:rsidRPr="0087636E">
        <w:rPr>
          <w:rFonts w:ascii="Times New Roman" w:hAnsi="Times New Roman" w:cs="Times New Roman"/>
          <w:sz w:val="28"/>
          <w:szCs w:val="28"/>
        </w:rPr>
        <w:lastRenderedPageBreak/>
        <w:t xml:space="preserve">обработки, обязанности обработчика по обеспечению безопасности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 и требования по безопасности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. Обработчик обязан соблюдать принципы и правила обработки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, предусмотренные Федеральным законом № 152-ФЗ, обеспечивая конфиденциальность и безопасность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 при их обработке.</w:t>
      </w:r>
    </w:p>
    <w:p w:rsidR="0029332F" w:rsidRPr="0087636E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87636E">
        <w:rPr>
          <w:rFonts w:ascii="Times New Roman" w:hAnsi="Times New Roman" w:cs="Times New Roman"/>
          <w:sz w:val="28"/>
          <w:szCs w:val="28"/>
        </w:rPr>
        <w:t xml:space="preserve">Внесение изменений в </w:t>
      </w:r>
      <w:r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87636E">
        <w:rPr>
          <w:rFonts w:ascii="Times New Roman" w:hAnsi="Times New Roman" w:cs="Times New Roman"/>
          <w:sz w:val="28"/>
          <w:szCs w:val="28"/>
        </w:rPr>
        <w:t xml:space="preserve"> с целью обеспечения их точности, достоверности и актуальности, в том числе в отношении целей обработки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87636E">
        <w:rPr>
          <w:rFonts w:ascii="Times New Roman" w:hAnsi="Times New Roman" w:cs="Times New Roman"/>
          <w:sz w:val="28"/>
          <w:szCs w:val="28"/>
        </w:rPr>
        <w:t xml:space="preserve">, осуществляется в рабочем порядке в объеме полученного от субъекта </w:t>
      </w:r>
      <w:r>
        <w:rPr>
          <w:rFonts w:ascii="Times New Roman" w:hAnsi="Times New Roman" w:cs="Times New Roman"/>
          <w:sz w:val="28"/>
          <w:szCs w:val="28"/>
        </w:rPr>
        <w:t>персональных данных согласия.</w:t>
      </w:r>
    </w:p>
    <w:p w:rsidR="0029332F" w:rsidRPr="002857D5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7D5">
        <w:rPr>
          <w:rFonts w:ascii="Times New Roman" w:hAnsi="Times New Roman" w:cs="Times New Roman"/>
          <w:sz w:val="28"/>
          <w:szCs w:val="28"/>
          <w:lang w:bidi="ru-RU"/>
        </w:rPr>
        <w:t>5.</w:t>
      </w:r>
      <w:r>
        <w:rPr>
          <w:rFonts w:ascii="Times New Roman" w:hAnsi="Times New Roman" w:cs="Times New Roman"/>
          <w:sz w:val="28"/>
          <w:szCs w:val="28"/>
          <w:lang w:bidi="ru-RU"/>
        </w:rPr>
        <w:t>4</w:t>
      </w:r>
      <w:r w:rsidRPr="002857D5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2857D5">
        <w:rPr>
          <w:rFonts w:ascii="Times New Roman" w:hAnsi="Times New Roman" w:cs="Times New Roman"/>
          <w:sz w:val="28"/>
          <w:szCs w:val="28"/>
          <w:lang w:bidi="ru-RU"/>
        </w:rPr>
        <w:t>, получивший доступ к персональным данным, обязуются не раскрывать третьим лицам и не распространять персональные данные без согласия субъекта персональных, если иное не предусмотрено федеральным законом.</w:t>
      </w:r>
    </w:p>
    <w:p w:rsidR="0029332F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2857D5">
        <w:rPr>
          <w:rFonts w:ascii="Times New Roman" w:hAnsi="Times New Roman" w:cs="Times New Roman"/>
          <w:sz w:val="28"/>
          <w:szCs w:val="28"/>
        </w:rPr>
        <w:t xml:space="preserve">Сроки обработки и хранения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2857D5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2857D5">
        <w:rPr>
          <w:rFonts w:ascii="Times New Roman" w:hAnsi="Times New Roman" w:cs="Times New Roman"/>
          <w:sz w:val="28"/>
          <w:szCs w:val="28"/>
        </w:rPr>
        <w:t xml:space="preserve">, соискателей/кандидатов на замещение вакантных должностей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2857D5">
        <w:rPr>
          <w:rFonts w:ascii="Times New Roman" w:hAnsi="Times New Roman" w:cs="Times New Roman"/>
          <w:sz w:val="28"/>
          <w:szCs w:val="28"/>
        </w:rPr>
        <w:t xml:space="preserve">, для зачисления в кадровый резерв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2857D5">
        <w:rPr>
          <w:rFonts w:ascii="Times New Roman" w:hAnsi="Times New Roman" w:cs="Times New Roman"/>
          <w:sz w:val="28"/>
          <w:szCs w:val="28"/>
        </w:rPr>
        <w:t xml:space="preserve">, уволенных с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2857D5">
        <w:rPr>
          <w:rFonts w:ascii="Times New Roman" w:hAnsi="Times New Roman" w:cs="Times New Roman"/>
          <w:sz w:val="28"/>
          <w:szCs w:val="28"/>
        </w:rPr>
        <w:t xml:space="preserve"> и иных субъектов </w:t>
      </w:r>
      <w:r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2857D5">
        <w:rPr>
          <w:rFonts w:ascii="Times New Roman" w:hAnsi="Times New Roman" w:cs="Times New Roman"/>
          <w:sz w:val="28"/>
          <w:szCs w:val="28"/>
        </w:rPr>
        <w:t xml:space="preserve">, определяются в соответствии с номенклатурой дел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2857D5">
        <w:rPr>
          <w:rFonts w:ascii="Times New Roman" w:hAnsi="Times New Roman" w:cs="Times New Roman"/>
          <w:sz w:val="28"/>
          <w:szCs w:val="28"/>
        </w:rPr>
        <w:t xml:space="preserve"> и законодательством Российской Федерации.</w:t>
      </w:r>
    </w:p>
    <w:p w:rsidR="00AD2E54" w:rsidRDefault="00AD2E54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5C69B3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5C69B3" w:rsidRPr="005C69B3">
        <w:rPr>
          <w:rFonts w:ascii="Times New Roman" w:hAnsi="Times New Roman" w:cs="Times New Roman"/>
          <w:sz w:val="28"/>
          <w:szCs w:val="28"/>
        </w:rPr>
        <w:t>при обработке персональных данных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5C69B3" w:rsidRPr="002E06AD" w:rsidRDefault="005C69B3" w:rsidP="00F10BB4">
      <w:pPr>
        <w:pStyle w:val="4"/>
        <w:numPr>
          <w:ilvl w:val="0"/>
          <w:numId w:val="0"/>
        </w:numPr>
        <w:ind w:firstLine="709"/>
      </w:pPr>
      <w:r w:rsidRPr="002E06AD">
        <w:t>Обеспечение безопасности персональных данных достигается, в частности:</w:t>
      </w:r>
    </w:p>
    <w:p w:rsidR="005C69B3" w:rsidRPr="002E06AD" w:rsidRDefault="005C69B3" w:rsidP="005C69B3">
      <w:pPr>
        <w:pStyle w:val="125"/>
      </w:pPr>
      <w:r w:rsidRPr="002E06AD">
        <w:t>1) определением угроз безопасности персональных данных при их обработке;</w:t>
      </w:r>
    </w:p>
    <w:p w:rsidR="005C69B3" w:rsidRPr="002E06AD" w:rsidRDefault="005C69B3" w:rsidP="005C69B3">
      <w:pPr>
        <w:pStyle w:val="125"/>
      </w:pPr>
      <w:r w:rsidRPr="002E06AD"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5C69B3" w:rsidRPr="002E06AD" w:rsidRDefault="005C69B3" w:rsidP="005C69B3">
      <w:pPr>
        <w:pStyle w:val="125"/>
      </w:pPr>
      <w:r w:rsidRPr="002E06AD">
        <w:t>3) применением прошедших в установленном порядке процедуру оценки соответствия средств защиты информации;</w:t>
      </w:r>
    </w:p>
    <w:p w:rsidR="005C69B3" w:rsidRPr="002E06AD" w:rsidRDefault="005C69B3" w:rsidP="005C69B3">
      <w:pPr>
        <w:pStyle w:val="125"/>
      </w:pPr>
      <w:r w:rsidRPr="002E06AD">
        <w:t>4) оценкой эффективности принимаемых мер по обеспечению безопасности персональных данных;</w:t>
      </w:r>
    </w:p>
    <w:p w:rsidR="005C69B3" w:rsidRPr="002E06AD" w:rsidRDefault="005C69B3" w:rsidP="005C69B3">
      <w:pPr>
        <w:pStyle w:val="125"/>
      </w:pPr>
      <w:r w:rsidRPr="002E06AD">
        <w:t>5) учетом машинных носителей персональных данных;</w:t>
      </w:r>
    </w:p>
    <w:p w:rsidR="005C69B3" w:rsidRPr="002E06AD" w:rsidRDefault="005C69B3" w:rsidP="005C69B3">
      <w:pPr>
        <w:pStyle w:val="125"/>
      </w:pPr>
      <w:r w:rsidRPr="002E06AD">
        <w:t>6) обнаружением фактов несанкционированного доступа к персональным данным и принятием мер;</w:t>
      </w:r>
    </w:p>
    <w:p w:rsidR="005C69B3" w:rsidRPr="002E06AD" w:rsidRDefault="005C69B3" w:rsidP="00F10BB4">
      <w:pPr>
        <w:pStyle w:val="125"/>
        <w:widowControl w:val="0"/>
      </w:pPr>
      <w:r w:rsidRPr="002E06AD"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:rsidR="005C69B3" w:rsidRPr="002E06AD" w:rsidRDefault="005C69B3" w:rsidP="00F10BB4">
      <w:pPr>
        <w:pStyle w:val="125"/>
        <w:widowControl w:val="0"/>
      </w:pPr>
      <w:r w:rsidRPr="002E06AD">
        <w:t>8) установлением правил доступа к персональным данным, а также обеспечением регистрации и учета всех действий, совершаемых с персональными данными;</w:t>
      </w:r>
    </w:p>
    <w:p w:rsidR="005C69B3" w:rsidRPr="00F10BB4" w:rsidRDefault="005C69B3" w:rsidP="00F10BB4">
      <w:pPr>
        <w:pStyle w:val="125"/>
        <w:widowControl w:val="0"/>
      </w:pPr>
      <w:r w:rsidRPr="002E06AD">
        <w:lastRenderedPageBreak/>
        <w:t>9) контролем за принимаемыми мерами по обеспечению безопасности персональных данных и уровня защищенности.</w:t>
      </w:r>
    </w:p>
    <w:p w:rsidR="0029332F" w:rsidRPr="00CD4EDB" w:rsidRDefault="0029332F" w:rsidP="00293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32F" w:rsidRDefault="0029332F" w:rsidP="002933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7924">
        <w:rPr>
          <w:rFonts w:ascii="Times New Roman" w:hAnsi="Times New Roman" w:cs="Times New Roman"/>
          <w:sz w:val="28"/>
          <w:szCs w:val="28"/>
        </w:rPr>
        <w:t xml:space="preserve">6. Ответы на запросы субъектов на доступ к персональным данным. </w:t>
      </w:r>
    </w:p>
    <w:p w:rsidR="0029332F" w:rsidRPr="00D37924" w:rsidRDefault="0029332F" w:rsidP="002933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7924">
        <w:rPr>
          <w:rFonts w:ascii="Times New Roman" w:hAnsi="Times New Roman" w:cs="Times New Roman"/>
          <w:sz w:val="28"/>
          <w:szCs w:val="28"/>
        </w:rPr>
        <w:t>Актуализация, исправление, удаление и уничтожение персональных данных</w:t>
      </w:r>
    </w:p>
    <w:p w:rsidR="0029332F" w:rsidRPr="00D37924" w:rsidRDefault="0029332F" w:rsidP="00293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332F" w:rsidRPr="00D37924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924">
        <w:rPr>
          <w:rFonts w:ascii="Times New Roman" w:hAnsi="Times New Roman" w:cs="Times New Roman"/>
          <w:sz w:val="28"/>
          <w:szCs w:val="28"/>
        </w:rPr>
        <w:t xml:space="preserve">6.1. Сведения, указанные в части 7 статьи 14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№ 152-ФЗ</w:t>
      </w:r>
      <w:r w:rsidRPr="00D37924">
        <w:rPr>
          <w:rFonts w:ascii="Times New Roman" w:hAnsi="Times New Roman" w:cs="Times New Roman"/>
          <w:sz w:val="28"/>
          <w:szCs w:val="28"/>
        </w:rPr>
        <w:t xml:space="preserve">, предоставляются субъекту персональных данных или его представителю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D37924">
        <w:rPr>
          <w:rFonts w:ascii="Times New Roman" w:hAnsi="Times New Roman" w:cs="Times New Roman"/>
          <w:sz w:val="28"/>
          <w:szCs w:val="28"/>
        </w:rPr>
        <w:t xml:space="preserve"> при обращении либо при получении запроса субъекта персональных данных или его представителя.</w:t>
      </w:r>
    </w:p>
    <w:p w:rsidR="0029332F" w:rsidRPr="00D37924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924">
        <w:rPr>
          <w:rFonts w:ascii="Times New Roman" w:hAnsi="Times New Roman" w:cs="Times New Roman"/>
          <w:sz w:val="28"/>
          <w:szCs w:val="28"/>
        </w:rPr>
        <w:t>Сведения предоставляются в доступной форме, в них не включаются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29332F" w:rsidRPr="00D37924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924">
        <w:rPr>
          <w:rFonts w:ascii="Times New Roman" w:hAnsi="Times New Roman" w:cs="Times New Roman"/>
          <w:sz w:val="28"/>
          <w:szCs w:val="28"/>
        </w:rPr>
        <w:t xml:space="preserve">Если в обращении (запросе) субъекта персональных данных не отражены в соответствии с требованиями Федерального закона </w:t>
      </w:r>
      <w:r>
        <w:rPr>
          <w:rFonts w:ascii="Times New Roman" w:hAnsi="Times New Roman" w:cs="Times New Roman"/>
          <w:sz w:val="28"/>
          <w:szCs w:val="28"/>
        </w:rPr>
        <w:t>№ 152-ФЗ</w:t>
      </w:r>
      <w:r w:rsidRPr="00D37924">
        <w:rPr>
          <w:rFonts w:ascii="Times New Roman" w:hAnsi="Times New Roman" w:cs="Times New Roman"/>
          <w:sz w:val="28"/>
          <w:szCs w:val="28"/>
        </w:rPr>
        <w:t xml:space="preserve">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:rsidR="0029332F" w:rsidRPr="00D37924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924">
        <w:rPr>
          <w:rFonts w:ascii="Times New Roman" w:hAnsi="Times New Roman" w:cs="Times New Roman"/>
          <w:sz w:val="28"/>
          <w:szCs w:val="28"/>
        </w:rPr>
        <w:t xml:space="preserve"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D37924">
        <w:rPr>
          <w:rFonts w:ascii="Times New Roman" w:hAnsi="Times New Roman" w:cs="Times New Roman"/>
          <w:sz w:val="28"/>
          <w:szCs w:val="28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D37924">
        <w:rPr>
          <w:rFonts w:ascii="Times New Roman" w:hAnsi="Times New Roman" w:cs="Times New Roman"/>
          <w:sz w:val="28"/>
          <w:szCs w:val="28"/>
        </w:rPr>
        <w:t>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29332F" w:rsidRPr="00D37924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924">
        <w:rPr>
          <w:rFonts w:ascii="Times New Roman" w:hAnsi="Times New Roman" w:cs="Times New Roman"/>
          <w:sz w:val="28"/>
          <w:szCs w:val="28"/>
        </w:rPr>
        <w:t xml:space="preserve">Право субъекта персональных данных на доступ к его персональным данным может быть ограничено в соответствии с частью 8 статьи 14 Федерального закона </w:t>
      </w:r>
      <w:r>
        <w:rPr>
          <w:rFonts w:ascii="Times New Roman" w:hAnsi="Times New Roman" w:cs="Times New Roman"/>
          <w:sz w:val="28"/>
          <w:szCs w:val="28"/>
        </w:rPr>
        <w:t>№ 152-ФЗ</w:t>
      </w:r>
      <w:r w:rsidRPr="00D37924">
        <w:rPr>
          <w:rFonts w:ascii="Times New Roman" w:hAnsi="Times New Roman" w:cs="Times New Roman"/>
          <w:sz w:val="28"/>
          <w:szCs w:val="28"/>
        </w:rPr>
        <w:t xml:space="preserve"> в том числе, если доступ субъекта персональных данных к его персональным данным нарушает права и законные интересы третьих лиц.</w:t>
      </w:r>
    </w:p>
    <w:p w:rsidR="0029332F" w:rsidRPr="00D37924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924">
        <w:rPr>
          <w:rFonts w:ascii="Times New Roman" w:hAnsi="Times New Roman" w:cs="Times New Roman"/>
          <w:sz w:val="28"/>
          <w:szCs w:val="28"/>
        </w:rPr>
        <w:t xml:space="preserve">6.2. В срок, не превышающий семи рабочих дней со дня предоставления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D37924">
        <w:rPr>
          <w:rFonts w:ascii="Times New Roman" w:hAnsi="Times New Roman" w:cs="Times New Roman"/>
          <w:sz w:val="28"/>
          <w:szCs w:val="28"/>
        </w:rPr>
        <w:t xml:space="preserve"> вносит в них необходимые изменения.</w:t>
      </w:r>
    </w:p>
    <w:p w:rsidR="0029332F" w:rsidRPr="00D37924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924">
        <w:rPr>
          <w:rFonts w:ascii="Times New Roman" w:hAnsi="Times New Roman" w:cs="Times New Roman"/>
          <w:sz w:val="28"/>
          <w:szCs w:val="28"/>
        </w:rPr>
        <w:t xml:space="preserve">В срок, не превышающий семи рабочих дней со дня представления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D37924">
        <w:rPr>
          <w:rFonts w:ascii="Times New Roman" w:hAnsi="Times New Roman" w:cs="Times New Roman"/>
          <w:sz w:val="28"/>
          <w:szCs w:val="28"/>
        </w:rPr>
        <w:t xml:space="preserve"> уничтожает такие персональные данные.</w:t>
      </w:r>
    </w:p>
    <w:p w:rsidR="0029332F" w:rsidRPr="00D37924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 w:rsidRPr="00D37924">
        <w:rPr>
          <w:rFonts w:ascii="Times New Roman" w:hAnsi="Times New Roman" w:cs="Times New Roman"/>
          <w:sz w:val="28"/>
          <w:szCs w:val="28"/>
        </w:rPr>
        <w:t xml:space="preserve">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лиц, которым персональные данные этого субъекта были переданы.</w:t>
      </w:r>
    </w:p>
    <w:p w:rsidR="0029332F" w:rsidRPr="00D37924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Комитет</w:t>
      </w:r>
      <w:r w:rsidRPr="00D37924">
        <w:rPr>
          <w:rFonts w:ascii="Times New Roman" w:hAnsi="Times New Roman" w:cs="Times New Roman"/>
          <w:sz w:val="28"/>
          <w:szCs w:val="28"/>
        </w:rPr>
        <w:t xml:space="preserve">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запроса.</w:t>
      </w:r>
    </w:p>
    <w:p w:rsidR="0029332F" w:rsidRPr="00D37924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924">
        <w:rPr>
          <w:rFonts w:ascii="Times New Roman" w:hAnsi="Times New Roman" w:cs="Times New Roman"/>
          <w:sz w:val="28"/>
          <w:szCs w:val="28"/>
        </w:rPr>
        <w:t>6.3. Согласие на обработку персональных данных может быть отозвано субъектом персональных данных.</w:t>
      </w:r>
    </w:p>
    <w:p w:rsidR="0029332F" w:rsidRPr="00D37924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924">
        <w:rPr>
          <w:rFonts w:ascii="Times New Roman" w:hAnsi="Times New Roman" w:cs="Times New Roman"/>
          <w:sz w:val="28"/>
          <w:szCs w:val="28"/>
        </w:rPr>
        <w:t xml:space="preserve">В случае отзыва субъектом персональных данных согласия на обработку его персональных данных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D37924">
        <w:rPr>
          <w:rFonts w:ascii="Times New Roman" w:hAnsi="Times New Roman" w:cs="Times New Roman"/>
          <w:sz w:val="28"/>
          <w:szCs w:val="28"/>
        </w:rPr>
        <w:t xml:space="preserve"> прекращает их обработку или обеспечивает прекращение такой обработки (если обработка персональных данных осуществляется другим лицом, действующим по поручению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D37924">
        <w:rPr>
          <w:rFonts w:ascii="Times New Roman" w:hAnsi="Times New Roman" w:cs="Times New Roman"/>
          <w:sz w:val="28"/>
          <w:szCs w:val="28"/>
        </w:rPr>
        <w:t xml:space="preserve">) и в случае, если сохранение персональных данных более не требуется для целей обработки персональных данных, уничтожает персональные данные или обеспечивает их уничтожение (если обработка персональных данных осуществляется другим лицом, действующим по поручению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D37924">
        <w:rPr>
          <w:rFonts w:ascii="Times New Roman" w:hAnsi="Times New Roman" w:cs="Times New Roman"/>
          <w:sz w:val="28"/>
          <w:szCs w:val="28"/>
        </w:rPr>
        <w:t xml:space="preserve">)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D37924">
        <w:rPr>
          <w:rFonts w:ascii="Times New Roman" w:hAnsi="Times New Roman" w:cs="Times New Roman"/>
          <w:sz w:val="28"/>
          <w:szCs w:val="28"/>
        </w:rPr>
        <w:t xml:space="preserve"> и субъектом персональных данных либо если </w:t>
      </w: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D37924">
        <w:rPr>
          <w:rFonts w:ascii="Times New Roman" w:hAnsi="Times New Roman" w:cs="Times New Roman"/>
          <w:sz w:val="28"/>
          <w:szCs w:val="28"/>
        </w:rPr>
        <w:t xml:space="preserve">не вправе осуществлять обработку персональных данных без согласия субъекта персональных данных на основаниях, предусмотренных Федеральным законом </w:t>
      </w:r>
      <w:r w:rsidR="005C69B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 152-ФЗ</w:t>
      </w:r>
      <w:r w:rsidRPr="00D37924">
        <w:rPr>
          <w:rFonts w:ascii="Times New Roman" w:hAnsi="Times New Roman" w:cs="Times New Roman"/>
          <w:sz w:val="28"/>
          <w:szCs w:val="28"/>
        </w:rPr>
        <w:t xml:space="preserve"> или другими федеральными законами.</w:t>
      </w:r>
    </w:p>
    <w:p w:rsidR="0029332F" w:rsidRPr="00D37924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924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уничтожения персональных данных в течение вышеуказанного срока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D37924">
        <w:rPr>
          <w:rFonts w:ascii="Times New Roman" w:hAnsi="Times New Roman" w:cs="Times New Roman"/>
          <w:sz w:val="28"/>
          <w:szCs w:val="28"/>
        </w:rPr>
        <w:t xml:space="preserve">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D37924">
        <w:rPr>
          <w:rFonts w:ascii="Times New Roman" w:hAnsi="Times New Roman" w:cs="Times New Roman"/>
          <w:sz w:val="28"/>
          <w:szCs w:val="28"/>
        </w:rPr>
        <w:t>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29332F" w:rsidRPr="00D37924" w:rsidRDefault="0029332F" w:rsidP="002933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37924">
        <w:rPr>
          <w:rFonts w:ascii="Times New Roman" w:hAnsi="Times New Roman" w:cs="Times New Roman"/>
          <w:sz w:val="28"/>
          <w:szCs w:val="28"/>
        </w:rPr>
        <w:t xml:space="preserve">В случае отзыва субъектом персональных данных согласия на обработку персональных данных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D37924">
        <w:rPr>
          <w:rFonts w:ascii="Times New Roman" w:hAnsi="Times New Roman" w:cs="Times New Roman"/>
          <w:sz w:val="28"/>
          <w:szCs w:val="28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части 2 статьи 9 Федерального закона </w:t>
      </w:r>
      <w:r>
        <w:rPr>
          <w:rFonts w:ascii="Times New Roman" w:hAnsi="Times New Roman" w:cs="Times New Roman"/>
          <w:sz w:val="28"/>
          <w:szCs w:val="28"/>
        </w:rPr>
        <w:t>№ 152-ФЗ</w:t>
      </w:r>
      <w:r w:rsidRPr="00D37924">
        <w:rPr>
          <w:rFonts w:ascii="Times New Roman" w:hAnsi="Times New Roman" w:cs="Times New Roman"/>
          <w:sz w:val="28"/>
          <w:szCs w:val="28"/>
        </w:rPr>
        <w:t>.</w:t>
      </w:r>
    </w:p>
    <w:p w:rsidR="00A81C9D" w:rsidRDefault="00A81C9D">
      <w:pPr>
        <w:rPr>
          <w:rFonts w:ascii="Times New Roman" w:hAnsi="Times New Roman" w:cs="Times New Roman"/>
          <w:sz w:val="28"/>
          <w:szCs w:val="28"/>
        </w:rPr>
      </w:pPr>
    </w:p>
    <w:p w:rsidR="00A81C9D" w:rsidRDefault="00A81C9D" w:rsidP="00A81C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Приложения</w:t>
      </w:r>
    </w:p>
    <w:p w:rsidR="00A81C9D" w:rsidRDefault="00B65A5D" w:rsidP="00B65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Неотъемлемой частью П</w:t>
      </w:r>
      <w:r w:rsidR="00A81C9D">
        <w:rPr>
          <w:rFonts w:ascii="Times New Roman" w:hAnsi="Times New Roman" w:cs="Times New Roman"/>
          <w:sz w:val="28"/>
          <w:szCs w:val="28"/>
        </w:rPr>
        <w:t>олитики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65A5D" w:rsidRDefault="00B65A5D" w:rsidP="00B65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Приложение №1: </w:t>
      </w:r>
      <w:r w:rsidRPr="00B65A5D">
        <w:rPr>
          <w:rFonts w:ascii="Times New Roman" w:hAnsi="Times New Roman" w:cs="Times New Roman"/>
          <w:sz w:val="28"/>
          <w:szCs w:val="28"/>
        </w:rPr>
        <w:t>Типовая форма согласия на обработку персональных данных субъектов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5A5D" w:rsidRDefault="00B65A5D" w:rsidP="00B65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65A5D">
        <w:rPr>
          <w:rFonts w:ascii="Times New Roman" w:hAnsi="Times New Roman" w:cs="Times New Roman"/>
          <w:sz w:val="28"/>
          <w:szCs w:val="28"/>
        </w:rPr>
        <w:t>Форма акта уничтожения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FE7" w:rsidRDefault="006E1F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1FE7" w:rsidRDefault="006E1FE7" w:rsidP="006E1FE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6E1FE7" w:rsidRDefault="006E1FE7" w:rsidP="006E1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FE7" w:rsidRPr="006E1FE7" w:rsidRDefault="006E1FE7" w:rsidP="006E1F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форма согласия на обработку персональных данных субъектов персональных данных</w:t>
      </w:r>
    </w:p>
    <w:p w:rsidR="006E1FE7" w:rsidRDefault="006E1FE7" w:rsidP="006E1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FE7" w:rsidRPr="006E1FE7" w:rsidRDefault="006E1FE7" w:rsidP="006E1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</w:t>
      </w:r>
    </w:p>
    <w:p w:rsidR="006E1FE7" w:rsidRPr="006E1FE7" w:rsidRDefault="006E1FE7" w:rsidP="006E1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FE7" w:rsidRPr="006E1FE7" w:rsidRDefault="006E1FE7" w:rsidP="006E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6E1FE7" w:rsidRPr="006E1FE7" w:rsidRDefault="006E1FE7" w:rsidP="006E1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FE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6E1FE7" w:rsidRPr="006E1FE7" w:rsidRDefault="006E1FE7" w:rsidP="006E1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6E1FE7" w:rsidRPr="006E1FE7" w:rsidRDefault="006E1FE7" w:rsidP="006E1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FE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проживания)</w:t>
      </w:r>
    </w:p>
    <w:p w:rsidR="006E1FE7" w:rsidRPr="006E1FE7" w:rsidRDefault="006E1FE7" w:rsidP="006E1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6E1FE7" w:rsidRPr="006E1FE7" w:rsidRDefault="006E1FE7" w:rsidP="006E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 ______ № ___________, выдан____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6E1FE7" w:rsidRPr="006E1FE7" w:rsidRDefault="006E1FE7" w:rsidP="006E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_____._____._____ г.</w:t>
      </w:r>
    </w:p>
    <w:p w:rsidR="006E1FE7" w:rsidRPr="006E1FE7" w:rsidRDefault="006E1FE7" w:rsidP="006E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6E1FE7" w:rsidRPr="006E1FE7" w:rsidRDefault="006E1FE7" w:rsidP="006E1F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FE7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 документ, заменяющий паспорт)</w:t>
      </w:r>
    </w:p>
    <w:p w:rsidR="006E1FE7" w:rsidRPr="006E1FE7" w:rsidRDefault="006E1FE7" w:rsidP="006E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2006 года № 152-ФЗ «О персональных данных» даю свое согласие на обработку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своих нижеследующих персональных данных комитетом финансово-бюджетного контроля Курской области, расположенным по </w:t>
      </w:r>
      <w:proofErr w:type="gramStart"/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proofErr w:type="spellStart"/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Моковская</w:t>
      </w:r>
      <w:proofErr w:type="spellEnd"/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, 11а (далее - Оператор):</w:t>
      </w:r>
    </w:p>
    <w:p w:rsidR="006E1FE7" w:rsidRDefault="006E1FE7" w:rsidP="00A8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_______________________________________________________________,</w:t>
      </w:r>
    </w:p>
    <w:p w:rsidR="006E1FE7" w:rsidRDefault="006E1FE7" w:rsidP="00A8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_______________________________________________________________,</w:t>
      </w:r>
    </w:p>
    <w:p w:rsidR="006E1FE7" w:rsidRDefault="006E1FE7" w:rsidP="00A8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_______________________________________________________________</w:t>
      </w:r>
    </w:p>
    <w:p w:rsidR="006E1FE7" w:rsidRPr="006E1FE7" w:rsidRDefault="006E1FE7" w:rsidP="00A81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1FE7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(перечень персональных данных, на обработку которых дается согласие субъекта персональных данных)</w:t>
      </w:r>
    </w:p>
    <w:p w:rsidR="006E1FE7" w:rsidRPr="006E1FE7" w:rsidRDefault="006E1FE7" w:rsidP="00A8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целях:</w:t>
      </w:r>
    </w:p>
    <w:p w:rsidR="00A81C9D" w:rsidRDefault="00A81C9D" w:rsidP="00A8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_______________________________________________________________,</w:t>
      </w:r>
    </w:p>
    <w:p w:rsidR="00A81C9D" w:rsidRDefault="00A81C9D" w:rsidP="00A8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_______________________________________________________________,</w:t>
      </w:r>
    </w:p>
    <w:p w:rsidR="00A81C9D" w:rsidRDefault="00A81C9D" w:rsidP="00A8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_______________________________________________________________</w:t>
      </w:r>
    </w:p>
    <w:p w:rsidR="00A81C9D" w:rsidRPr="00A81C9D" w:rsidRDefault="00A81C9D" w:rsidP="00A81C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1C9D">
        <w:rPr>
          <w:rFonts w:ascii="Times New Roman" w:eastAsia="Times New Roman" w:hAnsi="Times New Roman" w:cs="Times New Roman"/>
          <w:sz w:val="20"/>
          <w:szCs w:val="20"/>
          <w:lang w:eastAsia="ru-RU"/>
        </w:rPr>
        <w:t>(цель или цели обработки персональных данных)</w:t>
      </w:r>
    </w:p>
    <w:p w:rsidR="006E1FE7" w:rsidRPr="006E1FE7" w:rsidRDefault="006E1FE7" w:rsidP="00A8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согласен (-на) на обработку моих персональных данных с использованием средств автоматизации и без использования таковых.</w:t>
      </w:r>
    </w:p>
    <w:p w:rsidR="006E1FE7" w:rsidRDefault="006E1FE7" w:rsidP="00A8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данного согласия – </w:t>
      </w:r>
      <w:r w:rsid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C9D" w:rsidRPr="00A81C9D" w:rsidRDefault="00A81C9D" w:rsidP="00A8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A81C9D">
        <w:rPr>
          <w:rFonts w:ascii="Times New Roman" w:eastAsia="Times New Roman" w:hAnsi="Times New Roman" w:cs="Times New Roman"/>
          <w:sz w:val="20"/>
          <w:szCs w:val="20"/>
          <w:lang w:eastAsia="ru-RU"/>
        </w:rPr>
        <w:t>(срок, в течение которого действует согласие)</w:t>
      </w:r>
    </w:p>
    <w:p w:rsidR="006E1FE7" w:rsidRPr="006E1FE7" w:rsidRDefault="006E1FE7" w:rsidP="00A81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проинформирован(-на),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</w:t>
      </w: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персональных данных», конфиденциальность персональных данных соблюдается в рамках исполнения Оператором законодательства Российской Федерации.</w:t>
      </w:r>
    </w:p>
    <w:p w:rsidR="006E1FE7" w:rsidRPr="006E1FE7" w:rsidRDefault="006E1FE7" w:rsidP="006E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FE7" w:rsidRPr="006E1FE7" w:rsidRDefault="006E1FE7" w:rsidP="006E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FE7" w:rsidRPr="006E1FE7" w:rsidRDefault="006E1FE7" w:rsidP="006E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                              ________________________</w:t>
      </w:r>
    </w:p>
    <w:p w:rsidR="006E1FE7" w:rsidRPr="006E1FE7" w:rsidRDefault="006E1FE7" w:rsidP="006E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A81C9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A81C9D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дата)</w:t>
      </w:r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6E1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81C9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A81C9D" w:rsidRDefault="00A81C9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25782" w:rsidRDefault="00A81C9D" w:rsidP="00A81C9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A81C9D" w:rsidRDefault="00A81C9D" w:rsidP="006E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9D" w:rsidRPr="00A81C9D" w:rsidRDefault="00A81C9D" w:rsidP="00A81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1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акта уничтожения персональных данных</w:t>
      </w:r>
    </w:p>
    <w:p w:rsidR="00A81C9D" w:rsidRPr="00A81C9D" w:rsidRDefault="00A81C9D" w:rsidP="00A8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9D" w:rsidRPr="00A81C9D" w:rsidRDefault="00A81C9D" w:rsidP="00A81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A81C9D" w:rsidRPr="00A81C9D" w:rsidRDefault="00A81C9D" w:rsidP="00A81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уничтожения персональных данных</w:t>
      </w:r>
    </w:p>
    <w:p w:rsidR="00A81C9D" w:rsidRPr="00A81C9D" w:rsidRDefault="00A81C9D" w:rsidP="00A8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81C9D" w:rsidRPr="00A81C9D" w:rsidRDefault="00A81C9D" w:rsidP="00A8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</w:t>
      </w: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A81C9D" w:rsidRPr="00A81C9D" w:rsidRDefault="00A81C9D" w:rsidP="00A8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81C9D" w:rsidRPr="00A81C9D" w:rsidRDefault="00A81C9D" w:rsidP="00A8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A81C9D" w:rsidRPr="00A81C9D" w:rsidRDefault="00A81C9D" w:rsidP="00A8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комиссии:</w:t>
      </w: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81C9D" w:rsidRPr="00A81C9D" w:rsidRDefault="00A81C9D" w:rsidP="00A8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9D" w:rsidRPr="00A81C9D" w:rsidRDefault="00A81C9D" w:rsidP="00A8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</w:t>
      </w:r>
    </w:p>
    <w:p w:rsidR="00A81C9D" w:rsidRPr="00A81C9D" w:rsidRDefault="00A81C9D" w:rsidP="00A8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9D" w:rsidRPr="00A81C9D" w:rsidRDefault="00A81C9D" w:rsidP="00A8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9D" w:rsidRDefault="00A81C9D" w:rsidP="00A8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уничтожила персональные данные: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2551"/>
        <w:gridCol w:w="3828"/>
        <w:gridCol w:w="2693"/>
      </w:tblGrid>
      <w:tr w:rsidR="00A81C9D" w:rsidRPr="00537EBF" w:rsidTr="00A81C9D">
        <w:tc>
          <w:tcPr>
            <w:tcW w:w="851" w:type="dxa"/>
          </w:tcPr>
          <w:p w:rsidR="00A81C9D" w:rsidRPr="00537EBF" w:rsidRDefault="00A81C9D" w:rsidP="00A23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37EB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№</w:t>
            </w:r>
            <w:r w:rsidRPr="00537EB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2551" w:type="dxa"/>
          </w:tcPr>
          <w:p w:rsidR="00A81C9D" w:rsidRPr="00537EBF" w:rsidRDefault="00A81C9D" w:rsidP="00A23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37EB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Дата уничтожения</w:t>
            </w:r>
          </w:p>
        </w:tc>
        <w:tc>
          <w:tcPr>
            <w:tcW w:w="3828" w:type="dxa"/>
          </w:tcPr>
          <w:p w:rsidR="00A81C9D" w:rsidRPr="00537EBF" w:rsidRDefault="00A81C9D" w:rsidP="00A23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37EB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ФИО</w:t>
            </w:r>
          </w:p>
        </w:tc>
        <w:tc>
          <w:tcPr>
            <w:tcW w:w="2693" w:type="dxa"/>
          </w:tcPr>
          <w:p w:rsidR="00A81C9D" w:rsidRPr="00537EBF" w:rsidRDefault="00A81C9D" w:rsidP="00A239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537EBF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Основание на уничтожение</w:t>
            </w:r>
          </w:p>
        </w:tc>
      </w:tr>
      <w:tr w:rsidR="00A81C9D" w:rsidRPr="00537EBF" w:rsidTr="00A81C9D">
        <w:tc>
          <w:tcPr>
            <w:tcW w:w="851" w:type="dxa"/>
          </w:tcPr>
          <w:p w:rsidR="00A81C9D" w:rsidRPr="00537EBF" w:rsidRDefault="00A81C9D" w:rsidP="00A81C9D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autoSpaceDN w:val="0"/>
              <w:adjustRightInd w:val="0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828" w:type="dxa"/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A81C9D" w:rsidRPr="00537EBF" w:rsidTr="00A81C9D">
        <w:tc>
          <w:tcPr>
            <w:tcW w:w="851" w:type="dxa"/>
          </w:tcPr>
          <w:p w:rsidR="00A81C9D" w:rsidRPr="00537EBF" w:rsidRDefault="00A81C9D" w:rsidP="00A81C9D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426"/>
                <w:tab w:val="num" w:pos="1134"/>
              </w:tabs>
              <w:autoSpaceDN w:val="0"/>
              <w:adjustRightInd w:val="0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828" w:type="dxa"/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A81C9D" w:rsidRPr="00537EBF" w:rsidTr="00A81C9D">
        <w:tc>
          <w:tcPr>
            <w:tcW w:w="851" w:type="dxa"/>
          </w:tcPr>
          <w:p w:rsidR="00A81C9D" w:rsidRPr="00537EBF" w:rsidRDefault="00A81C9D" w:rsidP="00A81C9D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426"/>
                <w:tab w:val="num" w:pos="1134"/>
              </w:tabs>
              <w:autoSpaceDN w:val="0"/>
              <w:adjustRightInd w:val="0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828" w:type="dxa"/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A81C9D" w:rsidRPr="00537EBF" w:rsidTr="00A81C9D">
        <w:tc>
          <w:tcPr>
            <w:tcW w:w="851" w:type="dxa"/>
          </w:tcPr>
          <w:p w:rsidR="00A81C9D" w:rsidRPr="00537EBF" w:rsidRDefault="00A81C9D" w:rsidP="00A81C9D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426"/>
                <w:tab w:val="num" w:pos="1134"/>
              </w:tabs>
              <w:autoSpaceDN w:val="0"/>
              <w:adjustRightInd w:val="0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828" w:type="dxa"/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693" w:type="dxa"/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  <w:tr w:rsidR="00A81C9D" w:rsidRPr="00537EBF" w:rsidTr="00A81C9D"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81C9D" w:rsidRPr="00537EBF" w:rsidRDefault="00A81C9D" w:rsidP="00A81C9D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426"/>
                <w:tab w:val="num" w:pos="1134"/>
              </w:tabs>
              <w:autoSpaceDN w:val="0"/>
              <w:adjustRightInd w:val="0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000000" w:themeColor="text1"/>
            </w:tcBorders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A81C9D" w:rsidRPr="00537EBF" w:rsidRDefault="00A81C9D" w:rsidP="00A2394B">
            <w:pPr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</w:pPr>
          </w:p>
        </w:tc>
      </w:tr>
    </w:tbl>
    <w:p w:rsidR="00A81C9D" w:rsidRDefault="00A81C9D" w:rsidP="006E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9D" w:rsidRDefault="00A81C9D" w:rsidP="006E1F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9D" w:rsidRPr="00A81C9D" w:rsidRDefault="00A81C9D" w:rsidP="00A8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</w:p>
    <w:p w:rsidR="00A81C9D" w:rsidRPr="00A81C9D" w:rsidRDefault="00A81C9D" w:rsidP="00A8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9D" w:rsidRPr="006E1FE7" w:rsidRDefault="00A81C9D" w:rsidP="00A8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C9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</w:t>
      </w:r>
    </w:p>
    <w:sectPr w:rsidR="00A81C9D" w:rsidRPr="006E1FE7" w:rsidSect="00F41C0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69A6"/>
    <w:multiLevelType w:val="hybridMultilevel"/>
    <w:tmpl w:val="951257A0"/>
    <w:lvl w:ilvl="0" w:tplc="09D0B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484055"/>
    <w:multiLevelType w:val="multilevel"/>
    <w:tmpl w:val="B0A65A9E"/>
    <w:styleLink w:val="a"/>
    <w:lvl w:ilvl="0">
      <w:start w:val="1"/>
      <w:numFmt w:val="decimal"/>
      <w:pStyle w:val="1"/>
      <w:suff w:val="space"/>
      <w:lvlText w:val="%1."/>
      <w:lvlJc w:val="left"/>
      <w:pPr>
        <w:ind w:left="589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865"/>
        </w:tabs>
        <w:ind w:left="589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865"/>
        </w:tabs>
        <w:ind w:left="589" w:firstLine="709"/>
      </w:pPr>
      <w:rPr>
        <w:rFonts w:hint="default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ind w:left="589" w:firstLine="709"/>
      </w:pPr>
      <w:rPr>
        <w:rFonts w:hint="default"/>
      </w:rPr>
    </w:lvl>
    <w:lvl w:ilvl="4">
      <w:start w:val="1"/>
      <w:numFmt w:val="decimal"/>
      <w:pStyle w:val="5"/>
      <w:isLgl/>
      <w:suff w:val="space"/>
      <w:lvlText w:val="%1.%2.%3.%4.%5."/>
      <w:lvlJc w:val="left"/>
      <w:pPr>
        <w:ind w:left="590" w:firstLine="708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590" w:firstLine="70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7" w:hanging="360"/>
      </w:pPr>
      <w:rPr>
        <w:rFonts w:hint="default"/>
      </w:rPr>
    </w:lvl>
  </w:abstractNum>
  <w:abstractNum w:abstractNumId="2" w15:restartNumberingAfterBreak="0">
    <w:nsid w:val="5A0538F2"/>
    <w:multiLevelType w:val="multilevel"/>
    <w:tmpl w:val="9A682D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F7787A"/>
    <w:multiLevelType w:val="multilevel"/>
    <w:tmpl w:val="850247A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6A0F19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865"/>
          </w:tabs>
          <w:ind w:left="589" w:firstLine="709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pStyle w:val="4"/>
        <w:isLgl/>
        <w:suff w:val="space"/>
        <w:lvlText w:val="%1.%2.%3.%4."/>
        <w:lvlJc w:val="left"/>
        <w:pPr>
          <w:ind w:left="589" w:firstLine="709"/>
        </w:pPr>
        <w:rPr>
          <w:rFonts w:hint="default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04"/>
    <w:rsid w:val="0029332F"/>
    <w:rsid w:val="00366E43"/>
    <w:rsid w:val="004610BA"/>
    <w:rsid w:val="004A21D6"/>
    <w:rsid w:val="005C69B3"/>
    <w:rsid w:val="006E1FE7"/>
    <w:rsid w:val="00705C57"/>
    <w:rsid w:val="009B147B"/>
    <w:rsid w:val="00A060AF"/>
    <w:rsid w:val="00A81C9D"/>
    <w:rsid w:val="00AD2E54"/>
    <w:rsid w:val="00B65A5D"/>
    <w:rsid w:val="00DE7813"/>
    <w:rsid w:val="00E25782"/>
    <w:rsid w:val="00E6282C"/>
    <w:rsid w:val="00F10BB4"/>
    <w:rsid w:val="00F4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8CB48-507A-42FA-96E7-B5AECDDD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10B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461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10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0">
    <w:name w:val="Абзац списка1"/>
    <w:basedOn w:val="a0"/>
    <w:rsid w:val="004610B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a4">
    <w:name w:val="List Paragraph"/>
    <w:basedOn w:val="a0"/>
    <w:uiPriority w:val="34"/>
    <w:qFormat/>
    <w:rsid w:val="0029332F"/>
    <w:pPr>
      <w:ind w:left="720"/>
      <w:contextualSpacing/>
    </w:pPr>
  </w:style>
  <w:style w:type="paragraph" w:styleId="a5">
    <w:name w:val="Title"/>
    <w:basedOn w:val="a0"/>
    <w:next w:val="a0"/>
    <w:link w:val="a6"/>
    <w:rsid w:val="005C69B3"/>
    <w:pPr>
      <w:keepNext/>
      <w:keepLines/>
      <w:spacing w:after="0" w:line="240" w:lineRule="auto"/>
      <w:contextualSpacing/>
      <w:jc w:val="both"/>
    </w:pPr>
    <w:rPr>
      <w:rFonts w:ascii="Trebuchet MS" w:eastAsia="Trebuchet MS" w:hAnsi="Trebuchet MS" w:cs="Trebuchet MS"/>
      <w:sz w:val="42"/>
      <w:szCs w:val="24"/>
      <w:lang w:eastAsia="ru-RU"/>
    </w:rPr>
  </w:style>
  <w:style w:type="character" w:customStyle="1" w:styleId="a6">
    <w:name w:val="Название Знак"/>
    <w:basedOn w:val="a1"/>
    <w:link w:val="a5"/>
    <w:rsid w:val="005C69B3"/>
    <w:rPr>
      <w:rFonts w:ascii="Trebuchet MS" w:eastAsia="Trebuchet MS" w:hAnsi="Trebuchet MS" w:cs="Trebuchet MS"/>
      <w:sz w:val="42"/>
      <w:szCs w:val="24"/>
      <w:lang w:eastAsia="ru-RU"/>
    </w:rPr>
  </w:style>
  <w:style w:type="numbering" w:customStyle="1" w:styleId="a">
    <w:name w:val="Большой список"/>
    <w:uiPriority w:val="99"/>
    <w:rsid w:val="005C69B3"/>
    <w:pPr>
      <w:numPr>
        <w:numId w:val="4"/>
      </w:numPr>
    </w:pPr>
  </w:style>
  <w:style w:type="paragraph" w:customStyle="1" w:styleId="1">
    <w:name w:val="Большой список уровень 1"/>
    <w:basedOn w:val="a0"/>
    <w:next w:val="a0"/>
    <w:qFormat/>
    <w:rsid w:val="005C69B3"/>
    <w:pPr>
      <w:keepNext/>
      <w:numPr>
        <w:numId w:val="4"/>
      </w:numPr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Большой список уровень 2"/>
    <w:basedOn w:val="a0"/>
    <w:qFormat/>
    <w:rsid w:val="005C69B3"/>
    <w:pPr>
      <w:widowControl w:val="0"/>
      <w:numPr>
        <w:ilvl w:val="1"/>
        <w:numId w:val="4"/>
      </w:num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paragraph" w:customStyle="1" w:styleId="3">
    <w:name w:val="Большой список уровень 3"/>
    <w:basedOn w:val="2"/>
    <w:qFormat/>
    <w:rsid w:val="005C69B3"/>
    <w:pPr>
      <w:numPr>
        <w:ilvl w:val="2"/>
      </w:numPr>
    </w:pPr>
    <w:rPr>
      <w:rFonts w:cstheme="minorBidi"/>
    </w:rPr>
  </w:style>
  <w:style w:type="paragraph" w:customStyle="1" w:styleId="125">
    <w:name w:val="Стиль Первая строка:  125 см"/>
    <w:basedOn w:val="a0"/>
    <w:rsid w:val="005C69B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Большой список уровень 5"/>
    <w:basedOn w:val="4"/>
    <w:qFormat/>
    <w:rsid w:val="005C69B3"/>
    <w:pPr>
      <w:numPr>
        <w:ilvl w:val="4"/>
      </w:numPr>
      <w:tabs>
        <w:tab w:val="num" w:pos="360"/>
      </w:tabs>
    </w:pPr>
  </w:style>
  <w:style w:type="paragraph" w:customStyle="1" w:styleId="6">
    <w:name w:val="Большой список уровень 6"/>
    <w:basedOn w:val="5"/>
    <w:qFormat/>
    <w:rsid w:val="005C69B3"/>
    <w:pPr>
      <w:numPr>
        <w:ilvl w:val="5"/>
      </w:numPr>
      <w:tabs>
        <w:tab w:val="num" w:pos="360"/>
      </w:tabs>
    </w:pPr>
  </w:style>
  <w:style w:type="paragraph" w:customStyle="1" w:styleId="4">
    <w:name w:val="Большой список уровень 4 + без курсива"/>
    <w:basedOn w:val="3"/>
    <w:link w:val="40"/>
    <w:qFormat/>
    <w:rsid w:val="005C69B3"/>
    <w:pPr>
      <w:numPr>
        <w:ilvl w:val="3"/>
      </w:numPr>
    </w:pPr>
  </w:style>
  <w:style w:type="character" w:customStyle="1" w:styleId="40">
    <w:name w:val="Большой список уровень 4 + без курсива Знак"/>
    <w:basedOn w:val="a1"/>
    <w:link w:val="4"/>
    <w:rsid w:val="005C69B3"/>
    <w:rPr>
      <w:rFonts w:ascii="Times New Roman" w:hAnsi="Times New Roman"/>
      <w:sz w:val="28"/>
      <w:szCs w:val="24"/>
    </w:rPr>
  </w:style>
  <w:style w:type="table" w:styleId="a7">
    <w:name w:val="Table Grid"/>
    <w:basedOn w:val="a2"/>
    <w:uiPriority w:val="59"/>
    <w:rsid w:val="00A81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467962280B30F2E7E46A81E0FB5BFB75D4301EC9EF2886FA44A8ED7D6051A8A4FF65A8E5CDDE42F23D0EAD511F2925EF9204675E901BDT9u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9467962280B30F2E7E46A81E0FB5BFB75D4301EC9EF2886FA44A8ED7D6051A8A4FF65D85088EA67C2584BA8F44F88C5DE721T4u8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9467962280B30F2E7E46A81E0FB5BFB75D4301EC9EF2886FA44A8ED7D6051A8A4FF65A8E5CDDE42823D0EAD511F2925EF9204675E901BDT9u4N" TargetMode="External"/><Relationship Id="rId5" Type="http://schemas.openxmlformats.org/officeDocument/2006/relationships/hyperlink" Target="consultantplus://offline/ref=AD9467962280B30F2E7E46A81E0FB5BFB75D4301EC9EF2886FA44A8ED7D6051A8A4FF65A8E5CDDE42923D0EAD511F2925EF9204675E901BDT9u4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DorenskySA</dc:creator>
  <cp:keywords/>
  <dc:description/>
  <cp:lastModifiedBy>DorenskySA</cp:lastModifiedBy>
  <cp:revision>6</cp:revision>
  <dcterms:created xsi:type="dcterms:W3CDTF">2021-08-27T11:00:00Z</dcterms:created>
  <dcterms:modified xsi:type="dcterms:W3CDTF">2021-09-27T08:47:00Z</dcterms:modified>
</cp:coreProperties>
</file>