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управлению имуществом Курской области;</w:t>
            </w:r>
          </w:p>
          <w:p w:rsidR="0021081C" w:rsidRPr="007C4F42" w:rsidRDefault="0077776F"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утратил силу (постановление Администрации Курской области от 05.09.2019 №852-па);</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агропромышленного комплекса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информации и печати Курской области; </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культуре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молодеж</w:t>
            </w:r>
            <w:r w:rsidR="00E9769E">
              <w:rPr>
                <w:rFonts w:ascii="Times New Roman" w:hAnsi="Times New Roman" w:cs="Times New Roman"/>
                <w:sz w:val="24"/>
                <w:szCs w:val="24"/>
              </w:rPr>
              <w:t xml:space="preserve">ной политики </w:t>
            </w:r>
            <w:r w:rsidRPr="007C4F42">
              <w:rPr>
                <w:rFonts w:ascii="Times New Roman" w:hAnsi="Times New Roman" w:cs="Times New Roman"/>
                <w:sz w:val="24"/>
                <w:szCs w:val="24"/>
              </w:rPr>
              <w:t>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7776F" w:rsidRPr="007C4F42">
              <w:rPr>
                <w:rFonts w:ascii="Times New Roman" w:hAnsi="Times New Roman" w:cs="Times New Roman"/>
                <w:sz w:val="24"/>
                <w:szCs w:val="24"/>
              </w:rPr>
              <w:t>цифрового развития и связи</w:t>
            </w:r>
            <w:r w:rsidRPr="007C4F42">
              <w:rPr>
                <w:rFonts w:ascii="Times New Roman" w:hAnsi="Times New Roman" w:cs="Times New Roman"/>
                <w:sz w:val="24"/>
                <w:szCs w:val="24"/>
              </w:rPr>
              <w:t xml:space="preserve"> Курской области</w:t>
            </w:r>
            <w:r w:rsidR="00D429B8" w:rsidRPr="007C4F42">
              <w:rPr>
                <w:rFonts w:ascii="Times New Roman" w:hAnsi="Times New Roman" w:cs="Times New Roman"/>
                <w:sz w:val="24"/>
                <w:szCs w:val="24"/>
              </w:rPr>
              <w:t>;</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физической культуре и спорту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жилищно-коммунального хозяйства и ТЭК Курской области</w:t>
            </w:r>
            <w:r w:rsidR="008F5E50" w:rsidRPr="007C4F42">
              <w:rPr>
                <w:rFonts w:ascii="Times New Roman" w:hAnsi="Times New Roman" w:cs="Times New Roman"/>
                <w:sz w:val="24"/>
                <w:szCs w:val="24"/>
              </w:rPr>
              <w:t>;</w:t>
            </w:r>
          </w:p>
          <w:p w:rsidR="008916FB" w:rsidRDefault="008F5E50"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Представительство Курской области при Правительстве Российской Федерации</w:t>
            </w:r>
          </w:p>
          <w:p w:rsidR="00E667E5" w:rsidRPr="007C4F42" w:rsidRDefault="00E667E5" w:rsidP="00ED3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строительства Курской области</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lastRenderedPageBreak/>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77776F" w:rsidRPr="007C4F42">
              <w:rPr>
                <w:rFonts w:ascii="Times New Roman" w:hAnsi="Times New Roman" w:cs="Times New Roman"/>
                <w:sz w:val="24"/>
                <w:szCs w:val="24"/>
              </w:rPr>
              <w:t>4</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2019-2024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8A3491">
              <w:rPr>
                <w:rFonts w:ascii="Times New Roman" w:hAnsi="Times New Roman" w:cs="Times New Roman"/>
                <w:sz w:val="24"/>
                <w:szCs w:val="24"/>
              </w:rPr>
              <w:t>405 761,275</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lastRenderedPageBreak/>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ED1B85">
              <w:rPr>
                <w:rFonts w:ascii="Times New Roman" w:hAnsi="Times New Roman" w:cs="Times New Roman"/>
                <w:sz w:val="24"/>
                <w:szCs w:val="24"/>
              </w:rPr>
              <w:t>4</w:t>
            </w:r>
            <w:r w:rsidR="008A3491">
              <w:rPr>
                <w:rFonts w:ascii="Times New Roman" w:hAnsi="Times New Roman" w:cs="Times New Roman"/>
                <w:sz w:val="24"/>
                <w:szCs w:val="24"/>
              </w:rPr>
              <w:t>2 815,989</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42 425,938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47 003,738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42 664,249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A3491">
              <w:rPr>
                <w:rFonts w:ascii="Times New Roman" w:hAnsi="Times New Roman" w:cs="Times New Roman"/>
                <w:sz w:val="24"/>
                <w:szCs w:val="24"/>
              </w:rPr>
              <w:t>338 697,075</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ED1B85">
              <w:rPr>
                <w:rFonts w:ascii="Times New Roman" w:hAnsi="Times New Roman" w:cs="Times New Roman"/>
                <w:sz w:val="24"/>
                <w:szCs w:val="24"/>
              </w:rPr>
              <w:t>2</w:t>
            </w:r>
            <w:r w:rsidR="008A3491">
              <w:rPr>
                <w:rFonts w:ascii="Times New Roman" w:hAnsi="Times New Roman" w:cs="Times New Roman"/>
                <w:sz w:val="24"/>
                <w:szCs w:val="24"/>
              </w:rPr>
              <w:t>9 106,289</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22 985,838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22 985,838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42 664,249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152455">
              <w:rPr>
                <w:rFonts w:ascii="Times New Roman" w:hAnsi="Times New Roman" w:cs="Times New Roman"/>
                <w:sz w:val="24"/>
                <w:szCs w:val="24"/>
              </w:rPr>
              <w:t>67 064,200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24 017,900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всего – 4 263 816,000 тыс. рублей,</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в том числе:</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2020 год –    791 816,000 тыс. рублей</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2021 год – 1 191 000,000 тыс. рублей</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2022 год – 1 151 500,000 тыс. рублей</w:t>
            </w:r>
          </w:p>
          <w:p w:rsid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t>2023 год – 1 129 500,000 тыс. рублей»</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2024 году в сумме 187,4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2024 году в сумме 173,5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площадь промышленных парков, занимаемая резидентами, в 2024 году составит не менее 50%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2019 - 2024 годы резидентами промышленных парков, составит не менее 5,0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w:t>
            </w:r>
            <w:proofErr w:type="gramStart"/>
            <w:r w:rsidRPr="00EB5A14">
              <w:rPr>
                <w:rFonts w:ascii="Times New Roman" w:hAnsi="Times New Roman" w:cs="Times New Roman"/>
                <w:sz w:val="24"/>
                <w:szCs w:val="24"/>
              </w:rPr>
              <w:t>предприятиях</w:t>
            </w:r>
            <w:proofErr w:type="gramEnd"/>
            <w:r w:rsidRPr="00EB5A14">
              <w:rPr>
                <w:rFonts w:ascii="Times New Roman" w:hAnsi="Times New Roman" w:cs="Times New Roman"/>
                <w:sz w:val="24"/>
                <w:szCs w:val="24"/>
              </w:rPr>
              <w:t xml:space="preserve"> (в организациях) на территории промышленных парков в 2024 году составит 1000 человек;</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сумма налога на доходы физических лиц, </w:t>
            </w:r>
            <w:r w:rsidRPr="00EB5A14">
              <w:rPr>
                <w:rFonts w:ascii="Times New Roman" w:hAnsi="Times New Roman" w:cs="Times New Roman"/>
                <w:sz w:val="24"/>
                <w:szCs w:val="24"/>
              </w:rPr>
              <w:lastRenderedPageBreak/>
              <w:t xml:space="preserve">перечисленная в доход консолидированного бюджета области организациями, вновь созданными на территории промышленных парков в 2024 году, составит 54,6 млн. рублей;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2024 годах составит 69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2024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составит 752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представителей региональных команд, </w:t>
            </w:r>
            <w:r w:rsidRPr="00EB5A14">
              <w:rPr>
                <w:rFonts w:ascii="Times New Roman" w:hAnsi="Times New Roman" w:cs="Times New Roman"/>
                <w:sz w:val="24"/>
                <w:szCs w:val="24"/>
              </w:rPr>
              <w:lastRenderedPageBreak/>
              <w:t>прошедших обучение инструментам повышения производительности труда, в 2021 – 2024 годах составит 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реализовано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принятие нормативных правовых актов Курской области, создающих условия для реализации инвестиционных проектов на </w:t>
            </w:r>
            <w:proofErr w:type="gramStart"/>
            <w:r w:rsidRPr="00EB5A14">
              <w:rPr>
                <w:rFonts w:ascii="Times New Roman" w:hAnsi="Times New Roman" w:cs="Times New Roman"/>
                <w:sz w:val="24"/>
                <w:szCs w:val="24"/>
              </w:rPr>
              <w:t>принципах</w:t>
            </w:r>
            <w:proofErr w:type="gramEnd"/>
            <w:r w:rsidRPr="00EB5A14">
              <w:rPr>
                <w:rFonts w:ascii="Times New Roman" w:hAnsi="Times New Roman" w:cs="Times New Roman"/>
                <w:sz w:val="24"/>
                <w:szCs w:val="24"/>
              </w:rPr>
              <w:t xml:space="preserve">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складывающихся экономических условиях развитие </w:t>
      </w:r>
      <w:r w:rsidRPr="0077776F">
        <w:rPr>
          <w:rFonts w:ascii="Times New Roman" w:hAnsi="Times New Roman" w:cs="Times New Roman"/>
          <w:sz w:val="28"/>
          <w:szCs w:val="28"/>
        </w:rPr>
        <w:lastRenderedPageBreak/>
        <w:t>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ожением необходимых объемов инвестиций. Анализ и оценка методов привлечения инвесторов в субъектах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изм.</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Ind w:w="2" w:type="dxa"/>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Беловский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Большесолдатский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Глушковский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Горшеченский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Железногорский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Золотухинский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Касторенский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Конышевский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Кореневский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Мантуровский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Медвенский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Обоянский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Поныровский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Пристенский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Солнцевский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Суджанский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Тимский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Фатежский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Хомутовский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Черемисиновский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Щигровский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lastRenderedPageBreak/>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Предусмотрено предоставление инвесторам: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21081C" w:rsidRPr="0077776F" w:rsidRDefault="0002444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режима наибольшего благоприятствования при реализации инвестиционных проектов с объемом </w:t>
      </w:r>
      <w:r w:rsidR="00CB4900" w:rsidRPr="0077776F">
        <w:rPr>
          <w:rFonts w:ascii="Times New Roman" w:hAnsi="Times New Roman" w:cs="Times New Roman"/>
          <w:sz w:val="28"/>
          <w:szCs w:val="28"/>
        </w:rPr>
        <w:t xml:space="preserve">инвестиций </w:t>
      </w:r>
      <w:r w:rsidRPr="0077776F">
        <w:rPr>
          <w:rFonts w:ascii="Times New Roman" w:hAnsi="Times New Roman" w:cs="Times New Roman"/>
          <w:sz w:val="28"/>
          <w:szCs w:val="28"/>
        </w:rPr>
        <w:t xml:space="preserve">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w:t>
      </w:r>
      <w:r w:rsidRPr="0077776F">
        <w:rPr>
          <w:rFonts w:ascii="Times New Roman" w:hAnsi="Times New Roman" w:cs="Times New Roman"/>
          <w:sz w:val="28"/>
          <w:szCs w:val="28"/>
        </w:rPr>
        <w:lastRenderedPageBreak/>
        <w:t>029-2001 к коду группировок видов экономической деятельности 15 «Производство пищевых продуктов, включая напитки», - не менее 50 млн. рублей.</w:t>
      </w:r>
      <w:proofErr w:type="gramEnd"/>
      <w:r w:rsidRPr="0077776F">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 или налогу на прибыль организаций</w:t>
      </w:r>
      <w:r w:rsidR="0021081C"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ГОКе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проект строительства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«Росатом</w:t>
      </w:r>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«Агропромкомплектация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«multi-site» («несколько производственных площадок») на территории Дмитриевского, Железногорского и Конышевского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 xml:space="preserve">ООО «Агропромкомплектация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«Возрождение» завершило строительство хрячника на 328 голов, </w:t>
      </w:r>
      <w:r w:rsidRPr="0077776F">
        <w:rPr>
          <w:rFonts w:ascii="Times New Roman" w:hAnsi="Times New Roman" w:cs="Times New Roman"/>
          <w:sz w:val="28"/>
          <w:szCs w:val="28"/>
        </w:rPr>
        <w:lastRenderedPageBreak/>
        <w:t>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Завершено строительство 4 свинокомплексов в Пристенском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«Мираторг»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Глушковском районе завершается строительство</w:t>
      </w:r>
      <w:r w:rsidR="00F24237" w:rsidRPr="0077776F">
        <w:rPr>
          <w:rFonts w:ascii="Times New Roman" w:hAnsi="Times New Roman" w:cs="Times New Roman"/>
          <w:sz w:val="28"/>
          <w:szCs w:val="28"/>
        </w:rPr>
        <w:t xml:space="preserve"> тепличного комплекса «АгроПарк»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залами-трансформерами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«МегаГРИНН»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область находится на пятом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По итогам работы, проведенной Администрацией Курской области с </w:t>
      </w:r>
      <w:r w:rsidRPr="0077776F">
        <w:rPr>
          <w:rFonts w:ascii="Times New Roman" w:hAnsi="Times New Roman" w:cs="Times New Roman"/>
          <w:sz w:val="28"/>
          <w:szCs w:val="28"/>
        </w:rPr>
        <w:lastRenderedPageBreak/>
        <w:t>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9482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Создан и действует Совет по улучшению инвестиционного климата и взаимодействию с инвесторами, основной задачей которого является принятие решений по наиболее важным вопросам в инвестиционной сфере. </w:t>
      </w:r>
      <w:r w:rsidR="00B94822" w:rsidRPr="0077776F">
        <w:rPr>
          <w:rFonts w:ascii="Times New Roman" w:hAnsi="Times New Roman" w:cs="Times New Roman"/>
          <w:sz w:val="28"/>
          <w:szCs w:val="28"/>
        </w:rPr>
        <w:t xml:space="preserve">Ежегодно проводится не менее 6 заседаний, на которых рассматриваются </w:t>
      </w:r>
      <w:r w:rsidRPr="0077776F">
        <w:rPr>
          <w:rFonts w:ascii="Times New Roman" w:hAnsi="Times New Roman" w:cs="Times New Roman"/>
          <w:sz w:val="28"/>
          <w:szCs w:val="28"/>
        </w:rPr>
        <w:t>вопрос</w:t>
      </w:r>
      <w:r w:rsidR="00B94822" w:rsidRPr="0077776F">
        <w:rPr>
          <w:rFonts w:ascii="Times New Roman" w:hAnsi="Times New Roman" w:cs="Times New Roman"/>
          <w:sz w:val="28"/>
          <w:szCs w:val="28"/>
        </w:rPr>
        <w:t>ы</w:t>
      </w:r>
      <w:r w:rsidRPr="0077776F">
        <w:rPr>
          <w:rFonts w:ascii="Times New Roman" w:hAnsi="Times New Roman" w:cs="Times New Roman"/>
          <w:sz w:val="28"/>
          <w:szCs w:val="28"/>
        </w:rPr>
        <w:t>, касающи</w:t>
      </w:r>
      <w:r w:rsidR="00962C63" w:rsidRPr="0077776F">
        <w:rPr>
          <w:rFonts w:ascii="Times New Roman" w:hAnsi="Times New Roman" w:cs="Times New Roman"/>
          <w:sz w:val="28"/>
          <w:szCs w:val="28"/>
        </w:rPr>
        <w:t>е</w:t>
      </w:r>
      <w:r w:rsidRPr="0077776F">
        <w:rPr>
          <w:rFonts w:ascii="Times New Roman" w:hAnsi="Times New Roman" w:cs="Times New Roman"/>
          <w:sz w:val="28"/>
          <w:szCs w:val="28"/>
        </w:rPr>
        <w:t xml:space="preserve">ся различных сторон инвестиционных процессов, происходящих в области. </w:t>
      </w:r>
    </w:p>
    <w:p w:rsidR="00472878" w:rsidRPr="0077776F" w:rsidRDefault="00B94822"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2012 году создано ОАО «</w:t>
      </w:r>
      <w:r w:rsidR="00472878" w:rsidRPr="0077776F">
        <w:rPr>
          <w:rFonts w:ascii="Times New Roman" w:hAnsi="Times New Roman" w:cs="Times New Roman"/>
          <w:sz w:val="28"/>
          <w:szCs w:val="28"/>
        </w:rPr>
        <w:t>Агентство по привлечению инвестиций Курской области</w:t>
      </w:r>
      <w:r w:rsidRPr="0077776F">
        <w:rPr>
          <w:rFonts w:ascii="Times New Roman" w:hAnsi="Times New Roman" w:cs="Times New Roman"/>
          <w:sz w:val="28"/>
          <w:szCs w:val="28"/>
        </w:rPr>
        <w:t>»</w:t>
      </w:r>
      <w:r w:rsidR="00384B44" w:rsidRPr="0077776F">
        <w:rPr>
          <w:rFonts w:ascii="Times New Roman" w:hAnsi="Times New Roman" w:cs="Times New Roman"/>
          <w:sz w:val="28"/>
          <w:szCs w:val="28"/>
        </w:rPr>
        <w:t xml:space="preserve"> (далее </w:t>
      </w:r>
      <w:r w:rsidR="00384B44" w:rsidRPr="0077776F">
        <w:rPr>
          <w:rFonts w:ascii="Times New Roman" w:hAnsi="Times New Roman" w:cs="Times New Roman"/>
          <w:sz w:val="28"/>
          <w:szCs w:val="28"/>
        </w:rPr>
        <w:noBreakHyphen/>
        <w:t xml:space="preserve"> Агентство)</w:t>
      </w:r>
      <w:r w:rsidR="00472878" w:rsidRPr="0077776F">
        <w:rPr>
          <w:rFonts w:ascii="Times New Roman" w:hAnsi="Times New Roman" w:cs="Times New Roman"/>
          <w:sz w:val="28"/>
          <w:szCs w:val="28"/>
        </w:rPr>
        <w:t xml:space="preserve">. </w:t>
      </w:r>
      <w:r w:rsidR="00B11864" w:rsidRPr="0077776F">
        <w:rPr>
          <w:rFonts w:ascii="Times New Roman" w:hAnsi="Times New Roman" w:cs="Times New Roman"/>
          <w:sz w:val="28"/>
          <w:szCs w:val="28"/>
        </w:rPr>
        <w:t xml:space="preserve">Основным направлением деятельности данной структуры является создание на территории региона промышленных (индустриальных) парков. </w:t>
      </w:r>
      <w:r w:rsidR="00472878" w:rsidRPr="0077776F">
        <w:rPr>
          <w:rFonts w:ascii="Times New Roman" w:hAnsi="Times New Roman" w:cs="Times New Roman"/>
          <w:sz w:val="28"/>
          <w:szCs w:val="28"/>
        </w:rPr>
        <w:t>Кроме</w:t>
      </w:r>
      <w:r w:rsidR="00B11864" w:rsidRPr="0077776F">
        <w:rPr>
          <w:rFonts w:ascii="Times New Roman" w:hAnsi="Times New Roman" w:cs="Times New Roman"/>
          <w:sz w:val="28"/>
          <w:szCs w:val="28"/>
        </w:rPr>
        <w:t xml:space="preserve"> того, </w:t>
      </w:r>
      <w:r w:rsidR="00472878" w:rsidRPr="0077776F">
        <w:rPr>
          <w:rFonts w:ascii="Times New Roman" w:hAnsi="Times New Roman" w:cs="Times New Roman"/>
          <w:sz w:val="28"/>
          <w:szCs w:val="28"/>
        </w:rPr>
        <w:t xml:space="preserve">Агентство </w:t>
      </w:r>
      <w:r w:rsidR="00384B44" w:rsidRPr="0077776F">
        <w:rPr>
          <w:rFonts w:ascii="Times New Roman" w:hAnsi="Times New Roman" w:cs="Times New Roman"/>
          <w:sz w:val="28"/>
          <w:szCs w:val="28"/>
        </w:rPr>
        <w:t>осуществляет</w:t>
      </w:r>
      <w:r w:rsidR="00472878" w:rsidRPr="0077776F">
        <w:rPr>
          <w:rFonts w:ascii="Times New Roman" w:hAnsi="Times New Roman" w:cs="Times New Roman"/>
          <w:sz w:val="28"/>
          <w:szCs w:val="28"/>
        </w:rPr>
        <w:t xml:space="preserve"> взаимодействи</w:t>
      </w:r>
      <w:r w:rsidR="00384B44" w:rsidRPr="0077776F">
        <w:rPr>
          <w:rFonts w:ascii="Times New Roman" w:hAnsi="Times New Roman" w:cs="Times New Roman"/>
          <w:sz w:val="28"/>
          <w:szCs w:val="28"/>
        </w:rPr>
        <w:t>е</w:t>
      </w:r>
      <w:r w:rsidR="00472878" w:rsidRPr="0077776F">
        <w:rPr>
          <w:rFonts w:ascii="Times New Roman" w:hAnsi="Times New Roman" w:cs="Times New Roman"/>
          <w:sz w:val="28"/>
          <w:szCs w:val="28"/>
        </w:rPr>
        <w:t xml:space="preserve"> с инвесторами по принципу «одного окна» в соответствии с регламентом, утвержденным постановлением Администрации Курской области от 21.</w:t>
      </w:r>
      <w:r w:rsidR="00962C63" w:rsidRPr="0077776F">
        <w:rPr>
          <w:rFonts w:ascii="Times New Roman" w:hAnsi="Times New Roman" w:cs="Times New Roman"/>
          <w:sz w:val="28"/>
          <w:szCs w:val="28"/>
        </w:rPr>
        <w:t>05.2014</w:t>
      </w:r>
      <w:r w:rsidR="00AC0B14" w:rsidRPr="0077776F">
        <w:rPr>
          <w:rFonts w:ascii="Times New Roman" w:hAnsi="Times New Roman" w:cs="Times New Roman"/>
          <w:sz w:val="28"/>
          <w:szCs w:val="28"/>
        </w:rPr>
        <w:t xml:space="preserve"> </w:t>
      </w:r>
      <w:r w:rsidR="00472878" w:rsidRPr="0077776F">
        <w:rPr>
          <w:rFonts w:ascii="Times New Roman" w:hAnsi="Times New Roman" w:cs="Times New Roman"/>
          <w:sz w:val="28"/>
          <w:szCs w:val="28"/>
        </w:rPr>
        <w:t>№ 324-па.</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В связи с активизацией деятельности по развитию индустриальных (промышленных) парков в целях повышения эффективности деятельности Агентства было принято решение о разделении функций. Распоряжением Администрации Курской области от 08.06.2020 № 274-ра было создано автономное учреждение «Корпорация развития Курской области» (далее – Корпорация). Основной задачей указанного учреждения является организация сопровождения инвесторов по принципу «одного окна». Реализация данного направления подразумевает оказание следующих государственных услуг:</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 xml:space="preserve">исследование конъюнктуры рынка инвестиций (оказание данной государственной услуги предполагает проведение аналитических исследований инвестиционной активности субъектов предпринимательской деятельности в Курской области, субъектах </w:t>
      </w:r>
      <w:r w:rsidRPr="00020D3F">
        <w:rPr>
          <w:rFonts w:ascii="Times New Roman" w:hAnsi="Times New Roman"/>
          <w:sz w:val="28"/>
          <w:szCs w:val="28"/>
        </w:rPr>
        <w:lastRenderedPageBreak/>
        <w:t>Центрального Федерального округа, в Российской Федерации в целом; исследований рынка инвестиционных проектов в Курской области, субъектах Центрального Федерального округа, Российской Федерации; выявление субъектов инвестиционной деятельности, заинтересованных в реализации инвестиционных проектов, сбор информации о новых инвестиционных проектах, реализуемых и (или) планируемых к реализации на территории Курской области и субъектов Российской Федерации);</w:t>
      </w:r>
    </w:p>
    <w:p w:rsidR="00D21913" w:rsidRPr="00020D3F"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предоставление информационной и консультационной поддержки субъектам инвестиционной деятельности (оказание данной государственной услуги предполагает комплексное сопровождение инвестиционных проектов (инвесторов) по принципу «одного окна», проведение мониторинга реализации инвестиционных проектов инвесторов, с которыми не заключены соглашения о сопровождении по принципу «одного окна», но по которым автономное учреждение «Корпорация развития Курской области» оказывает инвесторам содействие в реализации проектов, информирование и консультирование субъектов предпринимательской и</w:t>
      </w:r>
      <w:proofErr w:type="gramEnd"/>
      <w:r w:rsidRPr="00020D3F">
        <w:rPr>
          <w:rFonts w:ascii="Times New Roman" w:hAnsi="Times New Roman"/>
          <w:sz w:val="28"/>
          <w:szCs w:val="28"/>
        </w:rPr>
        <w:t xml:space="preserve"> инвестиционной деятельности об условиях реализации инвестиционных проектов на территории Курской области, в том числе на принципах ГЧП и мерах государственной поддержки, предоставляемых инвесторам);</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организация проведения и (или) участие в организации (проведении) информационно-презентационных мероприятий (оказание данной государственной услуги предполагает организацию и проведение или участие в организации и проведении информационно - презентационных мероприятий, способствующих продвижению инвестиционного потенциала Курской области в Российской Федерации и за рубежом);</w:t>
      </w:r>
    </w:p>
    <w:p w:rsidR="00D21913"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создание и ведение баз данных (оказание данной государственной услуги предполагает создание и ведение баз данных по инвестиционным проектам, сопровождаемым по принципу «одного окна» и проектам, по которым осуществляется мониторинг их реализации, создание и ведение сайта автономного учреждения «Корпорация развития Курской области» в сети «Интернет»; подготовка информационных материалов для наполнения сайта, постоянная актуализация материалов;</w:t>
      </w:r>
      <w:proofErr w:type="gramEnd"/>
      <w:r w:rsidRPr="00020D3F">
        <w:rPr>
          <w:rFonts w:ascii="Times New Roman" w:hAnsi="Times New Roman"/>
          <w:sz w:val="28"/>
          <w:szCs w:val="28"/>
        </w:rPr>
        <w:t xml:space="preserve"> обеспечение бесперебо</w:t>
      </w:r>
      <w:r>
        <w:rPr>
          <w:rFonts w:ascii="Times New Roman" w:hAnsi="Times New Roman"/>
          <w:sz w:val="28"/>
          <w:szCs w:val="28"/>
        </w:rPr>
        <w:t>йного функционирования сайта).</w:t>
      </w:r>
    </w:p>
    <w:p w:rsidR="008D7A8F" w:rsidRDefault="00114AB6"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целях повышения информационной открытости региона с</w:t>
      </w:r>
      <w:r w:rsidR="00DF6F88" w:rsidRPr="0077776F">
        <w:rPr>
          <w:rFonts w:ascii="Times New Roman" w:hAnsi="Times New Roman" w:cs="Times New Roman"/>
          <w:sz w:val="28"/>
          <w:szCs w:val="28"/>
        </w:rPr>
        <w:t xml:space="preserve"> 2012 года</w:t>
      </w:r>
      <w:r w:rsidR="00472878" w:rsidRPr="0077776F">
        <w:rPr>
          <w:rFonts w:ascii="Times New Roman" w:hAnsi="Times New Roman" w:cs="Times New Roman"/>
          <w:sz w:val="28"/>
          <w:szCs w:val="28"/>
        </w:rPr>
        <w:t xml:space="preserve"> Администрацией Курской области совместно с российским информационным агентством АК&amp;М пров</w:t>
      </w:r>
      <w:r w:rsidR="006C0EC4" w:rsidRPr="0077776F">
        <w:rPr>
          <w:rFonts w:ascii="Times New Roman" w:hAnsi="Times New Roman" w:cs="Times New Roman"/>
          <w:sz w:val="28"/>
          <w:szCs w:val="28"/>
        </w:rPr>
        <w:t>о</w:t>
      </w:r>
      <w:r w:rsidR="00472878" w:rsidRPr="0077776F">
        <w:rPr>
          <w:rFonts w:ascii="Times New Roman" w:hAnsi="Times New Roman" w:cs="Times New Roman"/>
          <w:sz w:val="28"/>
          <w:szCs w:val="28"/>
        </w:rPr>
        <w:t>д</w:t>
      </w:r>
      <w:r w:rsidR="00DF6F88" w:rsidRPr="0077776F">
        <w:rPr>
          <w:rFonts w:ascii="Times New Roman" w:hAnsi="Times New Roman" w:cs="Times New Roman"/>
          <w:sz w:val="28"/>
          <w:szCs w:val="28"/>
        </w:rPr>
        <w:t>ится</w:t>
      </w:r>
      <w:r w:rsidR="00472878" w:rsidRPr="0077776F">
        <w:rPr>
          <w:rFonts w:ascii="Times New Roman" w:hAnsi="Times New Roman" w:cs="Times New Roman"/>
          <w:sz w:val="28"/>
          <w:szCs w:val="28"/>
        </w:rPr>
        <w:t xml:space="preserve"> Среднерусский экономический форум.</w:t>
      </w:r>
      <w:r w:rsidR="00DF6F88" w:rsidRPr="0077776F">
        <w:rPr>
          <w:rFonts w:ascii="Times New Roman" w:hAnsi="Times New Roman" w:cs="Times New Roman"/>
          <w:sz w:val="28"/>
          <w:szCs w:val="28"/>
        </w:rPr>
        <w:t xml:space="preserve"> </w:t>
      </w:r>
      <w:r w:rsidRPr="0077776F">
        <w:rPr>
          <w:rFonts w:ascii="Times New Roman" w:hAnsi="Times New Roman" w:cs="Times New Roman"/>
          <w:sz w:val="28"/>
          <w:szCs w:val="28"/>
        </w:rPr>
        <w:t>Также п</w:t>
      </w:r>
      <w:r w:rsidR="00472878" w:rsidRPr="0077776F">
        <w:rPr>
          <w:rFonts w:ascii="Times New Roman" w:hAnsi="Times New Roman" w:cs="Times New Roman"/>
          <w:sz w:val="28"/>
          <w:szCs w:val="28"/>
        </w:rPr>
        <w:t>ровод</w:t>
      </w:r>
      <w:r w:rsidR="004E3792" w:rsidRPr="0077776F">
        <w:rPr>
          <w:rFonts w:ascii="Times New Roman" w:hAnsi="Times New Roman" w:cs="Times New Roman"/>
          <w:sz w:val="28"/>
          <w:szCs w:val="28"/>
        </w:rPr>
        <w:t>ятся</w:t>
      </w:r>
      <w:r w:rsidR="00472878" w:rsidRPr="0077776F">
        <w:rPr>
          <w:rFonts w:ascii="Times New Roman" w:hAnsi="Times New Roman" w:cs="Times New Roman"/>
          <w:sz w:val="28"/>
          <w:szCs w:val="28"/>
        </w:rPr>
        <w:t xml:space="preserve"> значимые имиджевые мероприятия, нацеленные на позиционирование Курской области как инвестиционно</w:t>
      </w:r>
      <w:r w:rsidR="000814EC" w:rsidRPr="0077776F">
        <w:rPr>
          <w:rFonts w:ascii="Times New Roman" w:hAnsi="Times New Roman" w:cs="Times New Roman"/>
          <w:sz w:val="28"/>
          <w:szCs w:val="28"/>
        </w:rPr>
        <w:t>-</w:t>
      </w:r>
      <w:r w:rsidR="00472878" w:rsidRPr="0077776F">
        <w:rPr>
          <w:rFonts w:ascii="Times New Roman" w:hAnsi="Times New Roman" w:cs="Times New Roman"/>
          <w:sz w:val="28"/>
          <w:szCs w:val="28"/>
        </w:rPr>
        <w:t>привлекательного региона, территории, благоприятной для ведения бизнеса.</w:t>
      </w:r>
    </w:p>
    <w:p w:rsidR="00EB5A14" w:rsidRPr="008B0E2C" w:rsidRDefault="00EB5A14"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 xml:space="preserve">В 2020 годы в целях стимулирования инвестиционной деятельности в Курской области, в том числе в целях создания благоприятного </w:t>
      </w:r>
      <w:r w:rsidRPr="008B0E2C">
        <w:rPr>
          <w:rFonts w:ascii="Times New Roman" w:hAnsi="Times New Roman" w:cs="Times New Roman"/>
          <w:sz w:val="28"/>
          <w:szCs w:val="28"/>
        </w:rPr>
        <w:lastRenderedPageBreak/>
        <w:t xml:space="preserve">инвестиционного климата в моногороде Железногорске, начата работа по созданию особой экономической зоны (далее – ОЭЗ) на территории указанного города и прилегающей к ней территории </w:t>
      </w:r>
      <w:proofErr w:type="spellStart"/>
      <w:r w:rsidRPr="008B0E2C">
        <w:rPr>
          <w:rFonts w:ascii="Times New Roman" w:hAnsi="Times New Roman" w:cs="Times New Roman"/>
          <w:sz w:val="28"/>
          <w:szCs w:val="28"/>
        </w:rPr>
        <w:t>Железногорского</w:t>
      </w:r>
      <w:proofErr w:type="spellEnd"/>
      <w:r w:rsidRPr="008B0E2C">
        <w:rPr>
          <w:rFonts w:ascii="Times New Roman" w:hAnsi="Times New Roman" w:cs="Times New Roman"/>
          <w:sz w:val="28"/>
          <w:szCs w:val="28"/>
        </w:rPr>
        <w:t xml:space="preserve"> района.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Работа по координации взаимодействия участников процесса создания ОЭЗ возложена на Агентство.</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2020 году:</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разработка «дорожной карты», регламентирующей перечень и сроки реализации мероприятий;</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 перечень из 39 потенциальных земельных участков, которые смогут быть учтены для формирования ОЭЗ, проработан вопрос о наличии избыточных мощностей в зоне доступа точек подключения;</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получены данные о наличии инженерных мощностей на земельных участках;</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сформировано техническое задание на подготовку проекта планировки территории;</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определен якорный инвестор;</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работа по корректировке проекта Стратегии социально-экономического развития Курской области на период до 2030 года с целью включения в указанный документ соответствующего раздела.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В 2021 году планируется </w:t>
      </w:r>
      <w:proofErr w:type="gramStart"/>
      <w:r w:rsidRPr="008B0E2C">
        <w:rPr>
          <w:rFonts w:ascii="Times New Roman" w:hAnsi="Times New Roman" w:cs="Times New Roman"/>
          <w:sz w:val="28"/>
          <w:szCs w:val="28"/>
        </w:rPr>
        <w:t>сформировать и направить</w:t>
      </w:r>
      <w:proofErr w:type="gramEnd"/>
      <w:r w:rsidRPr="008B0E2C">
        <w:rPr>
          <w:rFonts w:ascii="Times New Roman" w:hAnsi="Times New Roman" w:cs="Times New Roman"/>
          <w:sz w:val="28"/>
          <w:szCs w:val="28"/>
        </w:rPr>
        <w:t xml:space="preserve"> в адрес Минэкономразвития России пакет документов на присвоение официального статуса ОЭЗ сформ</w:t>
      </w:r>
      <w:r w:rsidR="008D7A8F">
        <w:rPr>
          <w:rFonts w:ascii="Times New Roman" w:hAnsi="Times New Roman" w:cs="Times New Roman"/>
          <w:sz w:val="28"/>
          <w:szCs w:val="28"/>
        </w:rPr>
        <w:t>ированному земельному участку.</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осваивать и выпускать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Учитывая имеющиеся проблемы, намечены пути дальнейшего </w:t>
      </w:r>
      <w:r w:rsidRPr="0077776F">
        <w:rPr>
          <w:rFonts w:ascii="Times New Roman" w:hAnsi="Times New Roman" w:cs="Times New Roman"/>
          <w:sz w:val="28"/>
          <w:szCs w:val="28"/>
        </w:rPr>
        <w:lastRenderedPageBreak/>
        <w:t>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Pr="007C4F42"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E212D5"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E249F3" w:rsidRPr="007C4F42">
        <w:rPr>
          <w:rFonts w:ascii="Times New Roman" w:hAnsi="Times New Roman" w:cs="Times New Roman"/>
          <w:sz w:val="28"/>
          <w:szCs w:val="28"/>
        </w:rPr>
        <w:t>5</w:t>
      </w:r>
      <w:r w:rsidR="00556BBF"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основные усилия Администрации Курской области и </w:t>
      </w:r>
      <w:r w:rsidR="007724A7" w:rsidRPr="007C4F42">
        <w:rPr>
          <w:rFonts w:ascii="Times New Roman" w:hAnsi="Times New Roman" w:cs="Times New Roman"/>
          <w:sz w:val="28"/>
          <w:szCs w:val="28"/>
        </w:rPr>
        <w:t>АО «</w:t>
      </w:r>
      <w:r w:rsidRPr="007C4F42">
        <w:rPr>
          <w:rFonts w:ascii="Times New Roman" w:hAnsi="Times New Roman" w:cs="Times New Roman"/>
          <w:sz w:val="28"/>
          <w:szCs w:val="28"/>
        </w:rPr>
        <w:t>Агентство по привлечению инвестиций Курской области</w:t>
      </w:r>
      <w:r w:rsidR="00A27FD5"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сосредоточены на создании промышленных парков. </w:t>
      </w:r>
      <w:r w:rsidR="00936449" w:rsidRPr="007C4F42">
        <w:rPr>
          <w:rFonts w:ascii="Times New Roman" w:hAnsi="Times New Roman" w:cs="Times New Roman"/>
          <w:sz w:val="28"/>
          <w:szCs w:val="28"/>
        </w:rPr>
        <w:t>В перспективе п</w:t>
      </w:r>
      <w:r w:rsidRPr="007C4F42">
        <w:rPr>
          <w:rFonts w:ascii="Times New Roman" w:hAnsi="Times New Roman" w:cs="Times New Roman"/>
          <w:sz w:val="28"/>
          <w:szCs w:val="28"/>
        </w:rPr>
        <w:t xml:space="preserve">ланируется создание 3 промышленных парков </w:t>
      </w:r>
      <w:proofErr w:type="gramStart"/>
      <w:r w:rsidRPr="007C4F42">
        <w:rPr>
          <w:rFonts w:ascii="Times New Roman" w:hAnsi="Times New Roman" w:cs="Times New Roman"/>
          <w:sz w:val="28"/>
          <w:szCs w:val="28"/>
        </w:rPr>
        <w:t>в</w:t>
      </w:r>
      <w:proofErr w:type="gramEnd"/>
      <w:r w:rsidRPr="007C4F42">
        <w:rPr>
          <w:rFonts w:ascii="Times New Roman" w:hAnsi="Times New Roman" w:cs="Times New Roman"/>
          <w:sz w:val="28"/>
          <w:szCs w:val="28"/>
        </w:rPr>
        <w:t xml:space="preserve"> </w:t>
      </w:r>
      <w:proofErr w:type="gramStart"/>
      <w:r w:rsidRPr="007C4F42">
        <w:rPr>
          <w:rFonts w:ascii="Times New Roman" w:hAnsi="Times New Roman" w:cs="Times New Roman"/>
          <w:sz w:val="28"/>
          <w:szCs w:val="28"/>
        </w:rPr>
        <w:t>Курском</w:t>
      </w:r>
      <w:proofErr w:type="gramEnd"/>
      <w:r w:rsidR="00936449" w:rsidRPr="007C4F42">
        <w:rPr>
          <w:rFonts w:ascii="Times New Roman" w:hAnsi="Times New Roman" w:cs="Times New Roman"/>
          <w:sz w:val="28"/>
          <w:szCs w:val="28"/>
        </w:rPr>
        <w:t xml:space="preserve"> и</w:t>
      </w:r>
      <w:r w:rsidRPr="007C4F42">
        <w:rPr>
          <w:rFonts w:ascii="Times New Roman" w:hAnsi="Times New Roman" w:cs="Times New Roman"/>
          <w:sz w:val="28"/>
          <w:szCs w:val="28"/>
        </w:rPr>
        <w:t xml:space="preserve"> Солнцевском район</w:t>
      </w:r>
      <w:r w:rsidR="00936449" w:rsidRPr="007C4F42">
        <w:rPr>
          <w:rFonts w:ascii="Times New Roman" w:hAnsi="Times New Roman" w:cs="Times New Roman"/>
          <w:sz w:val="28"/>
          <w:szCs w:val="28"/>
        </w:rPr>
        <w:t>ах</w:t>
      </w:r>
      <w:r w:rsidR="00325A6A" w:rsidRPr="007C4F42">
        <w:rPr>
          <w:rFonts w:ascii="Times New Roman" w:hAnsi="Times New Roman" w:cs="Times New Roman"/>
          <w:sz w:val="28"/>
          <w:szCs w:val="28"/>
        </w:rPr>
        <w:t xml:space="preserve">. </w:t>
      </w:r>
      <w:r w:rsidR="00145505" w:rsidRPr="007C4F42">
        <w:rPr>
          <w:rFonts w:ascii="Times New Roman" w:hAnsi="Times New Roman" w:cs="Times New Roman"/>
          <w:sz w:val="28"/>
          <w:szCs w:val="28"/>
        </w:rPr>
        <w:t>Объем средств областного бюджета, направляемых на создание объектов инфраструктуры</w:t>
      </w:r>
      <w:r w:rsidR="00145505" w:rsidRPr="0077776F">
        <w:rPr>
          <w:rFonts w:ascii="Times New Roman" w:hAnsi="Times New Roman" w:cs="Times New Roman"/>
          <w:sz w:val="28"/>
          <w:szCs w:val="28"/>
        </w:rPr>
        <w:t xml:space="preserve"> промышленных (индустриальных) парков ежегодно будет уточняться при формировании областного бюджета на очередной финансовый год и плановый период.</w:t>
      </w:r>
      <w:r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В 2016 году планируется разработать региональную законодательную базу по данному направлению. </w:t>
      </w:r>
      <w:r w:rsidR="00FD6D75" w:rsidRPr="007C4F42">
        <w:rPr>
          <w:rFonts w:ascii="Times New Roman" w:hAnsi="Times New Roman" w:cs="Times New Roman"/>
          <w:sz w:val="28"/>
          <w:szCs w:val="28"/>
        </w:rPr>
        <w:t xml:space="preserve">Системная работа Администрации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936449"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Администрация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 АО «Агентство по привлечению инвестиций Курской области»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(www.kurskoblinvest.ru).</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На портале размещены Инвестиционная стратегия Курской области до 2025 года, план создания инвестиционных объектов и объектов </w:t>
      </w:r>
      <w:r w:rsidRPr="007C4F42">
        <w:rPr>
          <w:rFonts w:ascii="Times New Roman" w:hAnsi="Times New Roman" w:cs="Times New Roman"/>
          <w:sz w:val="28"/>
          <w:szCs w:val="28"/>
        </w:rPr>
        <w:lastRenderedPageBreak/>
        <w:t>инфраструктуры, регламент взаимодействия инвесторов с органами исполнительной власти Курской области по принципу «одного окна», описание мер поддержки инвесторов и порядок обращения для их получения, информация о планах и результатах заседаний Совета по улучшению инвестиционного климата и взаимодействию с инвесторами, а также видеотрансляции его заседаний</w:t>
      </w:r>
      <w:proofErr w:type="gramEnd"/>
      <w:r w:rsidRPr="007C4F42">
        <w:rPr>
          <w:rFonts w:ascii="Times New Roman" w:hAnsi="Times New Roman" w:cs="Times New Roman"/>
          <w:sz w:val="28"/>
          <w:szCs w:val="28"/>
        </w:rPr>
        <w:t>, материалы об инвестиционном законодательстве области, реестр инвестиционных проектов, реализуемых на территории Курской области, реестр земельных участков для создания промышленных площадок</w:t>
      </w:r>
      <w:r w:rsidR="00FD6D75" w:rsidRPr="007C4F42">
        <w:rPr>
          <w:rFonts w:ascii="Times New Roman" w:hAnsi="Times New Roman" w:cs="Times New Roman"/>
          <w:sz w:val="28"/>
          <w:szCs w:val="28"/>
        </w:rPr>
        <w:t xml:space="preserve">, реестр инвестиционных проектов, реализуемых на принципах ГЧП, в том числе проектов, реализуемых </w:t>
      </w:r>
      <w:r w:rsidR="00534C17" w:rsidRPr="007C4F42">
        <w:rPr>
          <w:rFonts w:ascii="Times New Roman" w:hAnsi="Times New Roman" w:cs="Times New Roman"/>
          <w:sz w:val="28"/>
          <w:szCs w:val="28"/>
        </w:rPr>
        <w:t>на основании концессионных соглашений</w:t>
      </w:r>
      <w:r w:rsidRPr="007C4F42">
        <w:rPr>
          <w:rFonts w:ascii="Times New Roman" w:hAnsi="Times New Roman" w:cs="Times New Roman"/>
          <w:sz w:val="28"/>
          <w:szCs w:val="28"/>
        </w:rPr>
        <w:t>. Также на портале размещена интерактивная инвестиционная карта Курской области, которая наглядно отображает инвестиционные возможности региона путем объединения электронных пространственно-ориентированных изображений и базы данных, содержащей необходимую информацию об объектах, паспортах муниципальных образований региона и инвестиционных проектах, планах и фотографиях земельных участков, площадок и промышленных объектов различной стадии готовности. Портал ведется на двух языках: русском и английском, содержит полную контактную информацию, необходимую для потенциальных инвесторов, а также функцию обратной связи.</w:t>
      </w:r>
    </w:p>
    <w:p w:rsidR="0021081C" w:rsidRPr="007C4F42" w:rsidRDefault="0021081C"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BC1527"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7" w:name="Par1529"/>
      <w:bookmarkEnd w:id="7"/>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9"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0"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1"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2"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w:t>
      </w:r>
      <w:r w:rsidR="00252850" w:rsidRPr="007C4F42">
        <w:rPr>
          <w:rFonts w:ascii="Times New Roman" w:hAnsi="Times New Roman" w:cs="Times New Roman"/>
          <w:sz w:val="28"/>
          <w:szCs w:val="28"/>
        </w:rPr>
        <w:t>стиций в основной капитал в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году составит </w:t>
      </w:r>
      <w:r w:rsidR="008F7AD5" w:rsidRPr="007C4F42">
        <w:rPr>
          <w:rFonts w:ascii="Times New Roman" w:hAnsi="Times New Roman" w:cs="Times New Roman"/>
          <w:sz w:val="28"/>
          <w:szCs w:val="28"/>
        </w:rPr>
        <w:t xml:space="preserve">            1</w:t>
      </w:r>
      <w:r w:rsidR="00773636" w:rsidRPr="007C4F42">
        <w:rPr>
          <w:rFonts w:ascii="Times New Roman" w:hAnsi="Times New Roman" w:cs="Times New Roman"/>
          <w:sz w:val="28"/>
          <w:szCs w:val="28"/>
        </w:rPr>
        <w:t>64,3</w:t>
      </w:r>
      <w:r w:rsidRPr="007C4F42">
        <w:rPr>
          <w:rFonts w:ascii="Times New Roman" w:hAnsi="Times New Roman" w:cs="Times New Roman"/>
          <w:sz w:val="28"/>
          <w:szCs w:val="28"/>
        </w:rPr>
        <w:t xml:space="preserve"> млрд. рублей;</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2024 году составит 187,4 млрд. рублей;</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2024 году составит 173,5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773636" w:rsidRPr="007C4F42">
        <w:rPr>
          <w:rFonts w:ascii="Times New Roman" w:hAnsi="Times New Roman" w:cs="Times New Roman"/>
          <w:sz w:val="28"/>
          <w:szCs w:val="28"/>
        </w:rPr>
        <w:t>5,0</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численность постоянных работающих на вновь созданных предприятиях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1000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lastRenderedPageBreak/>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252850" w:rsidRPr="007C4F42">
        <w:rPr>
          <w:rFonts w:ascii="Times New Roman" w:hAnsi="Times New Roman" w:cs="Times New Roman"/>
          <w:sz w:val="28"/>
          <w:szCs w:val="28"/>
        </w:rPr>
        <w:t>5</w:t>
      </w:r>
      <w:r w:rsidR="00773636" w:rsidRPr="007C4F42">
        <w:rPr>
          <w:rFonts w:ascii="Times New Roman" w:hAnsi="Times New Roman" w:cs="Times New Roman"/>
          <w:sz w:val="28"/>
          <w:szCs w:val="28"/>
        </w:rPr>
        <w:t>4,6</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2024 годах составит 69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2024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оставит 752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 xml:space="preserve">реализованы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Pr="008B0E2C" w:rsidRDefault="00A0079B" w:rsidP="00A0079B">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A0079B" w:rsidRDefault="00A0079B" w:rsidP="00A0079B">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w:t>
      </w:r>
      <w:r>
        <w:rPr>
          <w:rFonts w:ascii="Times New Roman" w:hAnsi="Times New Roman" w:cs="Times New Roman"/>
          <w:sz w:val="28"/>
          <w:szCs w:val="28"/>
        </w:rPr>
        <w:t xml:space="preserve"> Федерации от 28.12.2020 № 872.</w:t>
      </w:r>
      <w:proofErr w:type="gramEnd"/>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8C28F2" w:rsidRPr="008C28F2" w:rsidRDefault="00A0079B" w:rsidP="008C28F2">
      <w:pPr>
        <w:spacing w:after="0" w:line="240" w:lineRule="auto"/>
        <w:ind w:firstLine="709"/>
        <w:jc w:val="both"/>
        <w:rPr>
          <w:rFonts w:ascii="Times New Roman" w:hAnsi="Times New Roman" w:cs="Times New Roman"/>
          <w:i/>
          <w:sz w:val="28"/>
          <w:szCs w:val="28"/>
        </w:rPr>
      </w:pPr>
      <w:r w:rsidRPr="00A0079B">
        <w:rPr>
          <w:rFonts w:ascii="Times New Roman" w:hAnsi="Times New Roman" w:cs="Times New Roman"/>
          <w:i/>
          <w:sz w:val="28"/>
          <w:szCs w:val="28"/>
        </w:rPr>
        <w:t>утрати</w:t>
      </w:r>
      <w:r w:rsidR="008C28F2">
        <w:rPr>
          <w:rFonts w:ascii="Times New Roman" w:hAnsi="Times New Roman" w:cs="Times New Roman"/>
          <w:i/>
          <w:sz w:val="28"/>
          <w:szCs w:val="28"/>
        </w:rPr>
        <w:t>л</w:t>
      </w:r>
      <w:r w:rsidRPr="00A0079B">
        <w:rPr>
          <w:rFonts w:ascii="Times New Roman" w:hAnsi="Times New Roman" w:cs="Times New Roman"/>
          <w:i/>
          <w:sz w:val="28"/>
          <w:szCs w:val="28"/>
        </w:rPr>
        <w:t xml:space="preserve"> силу</w:t>
      </w:r>
      <w:r w:rsidR="008C28F2">
        <w:rPr>
          <w:rFonts w:ascii="Times New Roman" w:hAnsi="Times New Roman" w:cs="Times New Roman"/>
          <w:i/>
          <w:sz w:val="28"/>
          <w:szCs w:val="28"/>
        </w:rPr>
        <w:t xml:space="preserve"> (</w:t>
      </w:r>
      <w:r w:rsidR="008C28F2" w:rsidRPr="008C28F2">
        <w:rPr>
          <w:rFonts w:ascii="Times New Roman" w:hAnsi="Times New Roman" w:cs="Times New Roman"/>
          <w:i/>
          <w:sz w:val="28"/>
          <w:szCs w:val="28"/>
        </w:rPr>
        <w:t>постановление Администрации Курской области от 17.03.2021 № 228-па)</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приняты нормативные правовые акты, создающие условия для реализации инвестиционных проектов на </w:t>
      </w:r>
      <w:proofErr w:type="gramStart"/>
      <w:r w:rsidRPr="007C4F42">
        <w:rPr>
          <w:rFonts w:ascii="Times New Roman" w:hAnsi="Times New Roman" w:cs="Times New Roman"/>
          <w:sz w:val="28"/>
          <w:szCs w:val="28"/>
        </w:rPr>
        <w:t>принципах</w:t>
      </w:r>
      <w:proofErr w:type="gramEnd"/>
      <w:r w:rsidRPr="007C4F42">
        <w:rPr>
          <w:rFonts w:ascii="Times New Roman" w:hAnsi="Times New Roman" w:cs="Times New Roman"/>
          <w:sz w:val="28"/>
          <w:szCs w:val="28"/>
        </w:rPr>
        <w:t xml:space="preserve">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Pr="007C4F42">
        <w:rPr>
          <w:rFonts w:ascii="Times New Roman" w:hAnsi="Times New Roman" w:cs="Times New Roman"/>
          <w:sz w:val="28"/>
          <w:szCs w:val="28"/>
        </w:rPr>
        <w:t xml:space="preserve"> </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 xml:space="preserve">Показатели: «площадь промышленных парков, занимаемая резидентами, в процентах от общей площади парков (нарастающим </w:t>
      </w:r>
      <w:r w:rsidRPr="007C4F42">
        <w:rPr>
          <w:rFonts w:ascii="Times New Roman" w:hAnsi="Times New Roman"/>
          <w:sz w:val="28"/>
          <w:szCs w:val="28"/>
        </w:rPr>
        <w:lastRenderedPageBreak/>
        <w:t>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АО «Агентство по привлечению инвестиций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Значения целевых показателей, предусмотренных к достижению в результате реализации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определяются по данным  предприятий – участников реализации мероприятий национального проекта «Производительность труда и поддержка занятости», кроме целевого показателя «рост производительности труда на средних и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который входит в состав данных официальной</w:t>
      </w:r>
      <w:proofErr w:type="gramEnd"/>
      <w:r>
        <w:rPr>
          <w:rFonts w:ascii="Times New Roman" w:hAnsi="Times New Roman" w:cs="Times New Roman"/>
          <w:sz w:val="28"/>
          <w:szCs w:val="28"/>
        </w:rPr>
        <w:t xml:space="preserve"> статистики.</w:t>
      </w:r>
    </w:p>
    <w:p w:rsidR="00773636" w:rsidRPr="007C4F42" w:rsidRDefault="00E12EC1"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8" w:name="Par1590"/>
      <w:bookmarkEnd w:id="8"/>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Реализация подпрограммы будет осуществляться в 2014-2024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2019-2024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1.02 «Государственная поддержка инвестиционной и инновационной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1) </w:t>
      </w:r>
      <w:r w:rsidR="00965526" w:rsidRPr="007C4F42">
        <w:rPr>
          <w:rFonts w:ascii="Times New Roman" w:hAnsi="Times New Roman" w:cs="Times New Roman"/>
          <w:sz w:val="28"/>
          <w:szCs w:val="28"/>
        </w:rPr>
        <w:t>увеличение</w:t>
      </w:r>
      <w:r w:rsidRPr="007C4F42">
        <w:rPr>
          <w:rFonts w:ascii="Times New Roman" w:hAnsi="Times New Roman" w:cs="Times New Roman"/>
          <w:sz w:val="28"/>
          <w:szCs w:val="28"/>
        </w:rPr>
        <w:t xml:space="preserve"> уставн</w:t>
      </w:r>
      <w:r w:rsidR="00965526"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капитал</w:t>
      </w:r>
      <w:r w:rsidR="00965526" w:rsidRPr="007C4F42">
        <w:rPr>
          <w:rFonts w:ascii="Times New Roman" w:hAnsi="Times New Roman" w:cs="Times New Roman"/>
          <w:sz w:val="28"/>
          <w:szCs w:val="28"/>
        </w:rPr>
        <w:t>а</w:t>
      </w:r>
      <w:r w:rsidRPr="007C4F42">
        <w:rPr>
          <w:rFonts w:ascii="Times New Roman" w:hAnsi="Times New Roman" w:cs="Times New Roman"/>
          <w:sz w:val="28"/>
          <w:szCs w:val="28"/>
        </w:rPr>
        <w:t xml:space="preserve"> АО «Агентство по привлечению инвестиций Курской области</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w:t>
      </w:r>
    </w:p>
    <w:p w:rsidR="00F72DF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период действия подпрограммы расширятся масштабы деятельности АО «Агентство по привлечению инвестиций Курской области». С целью исполнения поставленных перед ним задач необходимо увеличение уставного капитала АО «Агентство по привлечению инвестиций</w:t>
      </w:r>
      <w:r w:rsidR="005B4372" w:rsidRPr="007C4F42">
        <w:rPr>
          <w:rFonts w:ascii="Times New Roman" w:hAnsi="Times New Roman" w:cs="Times New Roman"/>
          <w:sz w:val="28"/>
          <w:szCs w:val="28"/>
        </w:rPr>
        <w:t xml:space="preserve"> Курской области»;</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2) проведение мероприятий по созданию благоприятных условий для </w:t>
      </w:r>
      <w:r w:rsidRPr="007C4F42">
        <w:rPr>
          <w:rFonts w:ascii="Times New Roman" w:hAnsi="Times New Roman" w:cs="Times New Roman"/>
          <w:sz w:val="28"/>
          <w:szCs w:val="28"/>
        </w:rPr>
        <w:lastRenderedPageBreak/>
        <w:t>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мониторинг инвестиционного законодательства Курской области и подготовка предложений по его совершенствованию</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заключение соглашений о сотрудничестве между Администрацией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w:t>
      </w:r>
      <w:r w:rsidRPr="007C4F42">
        <w:rPr>
          <w:rFonts w:ascii="Times New Roman" w:hAnsi="Times New Roman" w:cs="Times New Roman"/>
          <w:sz w:val="28"/>
          <w:szCs w:val="28"/>
        </w:rPr>
        <w:lastRenderedPageBreak/>
        <w:t>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Одним из важных направлений в решении задачи повышения эффективности деятельности исполнительных органов государственной власти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«FitchRatings»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присвоить по национальной шкале и не учитывать суверенный страновой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w:t>
      </w:r>
      <w:proofErr w:type="gramStart"/>
      <w:r w:rsidRPr="007C4F42">
        <w:rPr>
          <w:rFonts w:ascii="Times New Roman" w:hAnsi="Times New Roman" w:cs="Times New Roman"/>
          <w:sz w:val="28"/>
          <w:szCs w:val="28"/>
        </w:rPr>
        <w:t>рств в Р</w:t>
      </w:r>
      <w:proofErr w:type="gramEnd"/>
      <w:r w:rsidRPr="007C4F42">
        <w:rPr>
          <w:rFonts w:ascii="Times New Roman" w:hAnsi="Times New Roman" w:cs="Times New Roman"/>
          <w:sz w:val="28"/>
          <w:szCs w:val="28"/>
        </w:rPr>
        <w:t>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участие в тематических семинарах, конгрессах, конференциях, форумах, совещаниях, партнериатах,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w:t>
      </w:r>
      <w:r w:rsidRPr="007C4F42">
        <w:rPr>
          <w:rFonts w:ascii="Times New Roman" w:hAnsi="Times New Roman" w:cs="Times New Roman"/>
          <w:sz w:val="28"/>
          <w:szCs w:val="28"/>
        </w:rPr>
        <w:lastRenderedPageBreak/>
        <w:t>организациями;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л) продвижение портала об инвестиционной деятельности в Курской области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Администрации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актуализироваться и быть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 изготовление и издание презентационных материалов об экономическом и инвестиционном потенциале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Реализация данного мероприятия нацелена на создание презентационных материалов, которые можно распространять на форумных, презентационных, выставочно-ярмарочных мероприятиях, проводимых на территории Курской области, а также в ходе участия представителей Курской области в аналогичных мероприятиях в России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о) повышение информационной открытости Курской области для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работы по данному направлению будут осуществляться: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публикация в СМИ материалов по инвестиционной тематике;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lastRenderedPageBreak/>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3) обеспечение деятельности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данного направления планируется организовать работу по предоставлению  автономному учреждению Курской области  «Корпорация развития Курской области» субсидий на финансовое обеспечение выполнения государственного задания на оказание государственных услуг (выполнение работ), а также субсидий на иные цели.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lastRenderedPageBreak/>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Администрацией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з)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организация взаимодействия между инвесторами, органами </w:t>
      </w:r>
      <w:r w:rsidRPr="007C4F42">
        <w:rPr>
          <w:rFonts w:ascii="Times New Roman" w:hAnsi="Times New Roman" w:cs="Times New Roman"/>
          <w:sz w:val="28"/>
          <w:szCs w:val="28"/>
        </w:rPr>
        <w:lastRenderedPageBreak/>
        <w:t>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w:t>
      </w:r>
      <w:r>
        <w:rPr>
          <w:rFonts w:ascii="Times New Roman" w:hAnsi="Times New Roman" w:cs="Times New Roman"/>
          <w:sz w:val="28"/>
          <w:szCs w:val="28"/>
        </w:rPr>
        <w:lastRenderedPageBreak/>
        <w:t xml:space="preserve">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9" w:name="Par1668"/>
      <w:bookmarkEnd w:id="9"/>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Конкурсные отборы инвестиционных проектов будут проводиться в соответствии с порядком, установленным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Губернатора Курской области от 11.08.2005</w:t>
      </w:r>
      <w:r w:rsidR="004D7570" w:rsidRPr="0077776F">
        <w:rPr>
          <w:rFonts w:ascii="Times New Roman" w:hAnsi="Times New Roman" w:cs="Times New Roman"/>
          <w:sz w:val="28"/>
          <w:szCs w:val="28"/>
        </w:rPr>
        <w:t xml:space="preserve"> г.</w:t>
      </w:r>
      <w:r w:rsidRPr="0077776F">
        <w:rPr>
          <w:rFonts w:ascii="Times New Roman" w:hAnsi="Times New Roman" w:cs="Times New Roman"/>
          <w:sz w:val="28"/>
          <w:szCs w:val="28"/>
        </w:rPr>
        <w:t xml:space="preserve">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590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Вопросы организации и проведения конкурсных отборов наиболее эффективных инвестиционных проектов</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w:t>
      </w:r>
      <w:proofErr w:type="gramEnd"/>
      <w:r w:rsidRPr="0077776F">
        <w:rPr>
          <w:rFonts w:ascii="Times New Roman" w:hAnsi="Times New Roman" w:cs="Times New Roman"/>
          <w:sz w:val="28"/>
          <w:szCs w:val="28"/>
        </w:rPr>
        <w:t xml:space="preserve">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или налогу на прибыль организаций в части, зачисляемой в региональный бюджет, организациям, работающим в режиме </w:t>
      </w:r>
      <w:r w:rsidRPr="00E9769E">
        <w:rPr>
          <w:rFonts w:ascii="Times New Roman" w:hAnsi="Times New Roman" w:cs="Times New Roman"/>
          <w:sz w:val="28"/>
          <w:szCs w:val="28"/>
        </w:rPr>
        <w:t>наибольшего благоприятствования</w:t>
      </w:r>
      <w:proofErr w:type="gramEnd"/>
      <w:r w:rsidRPr="00E9769E">
        <w:rPr>
          <w:rFonts w:ascii="Times New Roman" w:hAnsi="Times New Roman" w:cs="Times New Roman"/>
          <w:sz w:val="28"/>
          <w:szCs w:val="28"/>
        </w:rPr>
        <w:t xml:space="preserve">. В связи с тем, что в настоящее время невозможно определить перечень </w:t>
      </w:r>
      <w:r w:rsidRPr="00E9769E">
        <w:rPr>
          <w:rFonts w:ascii="Times New Roman" w:hAnsi="Times New Roman" w:cs="Times New Roman"/>
          <w:sz w:val="28"/>
          <w:szCs w:val="28"/>
        </w:rPr>
        <w:lastRenderedPageBreak/>
        <w:t>организаций,</w:t>
      </w:r>
      <w:r w:rsidR="00603B76" w:rsidRPr="00E9769E">
        <w:rPr>
          <w:rFonts w:ascii="Times New Roman" w:hAnsi="Times New Roman" w:cs="Times New Roman"/>
          <w:sz w:val="28"/>
          <w:szCs w:val="28"/>
        </w:rPr>
        <w:t xml:space="preserve"> которые обратятся в 2014-202</w:t>
      </w:r>
      <w:r w:rsidR="00F250F9" w:rsidRPr="00E9769E">
        <w:rPr>
          <w:rFonts w:ascii="Times New Roman" w:hAnsi="Times New Roman" w:cs="Times New Roman"/>
          <w:sz w:val="28"/>
          <w:szCs w:val="28"/>
        </w:rPr>
        <w:t>4</w:t>
      </w:r>
      <w:r w:rsidRPr="00E9769E">
        <w:rPr>
          <w:rFonts w:ascii="Times New Roman" w:hAnsi="Times New Roman" w:cs="Times New Roman"/>
          <w:sz w:val="28"/>
          <w:szCs w:val="28"/>
        </w:rPr>
        <w:t xml:space="preserve"> годах по вопросу предоставления режима наибольшего благоприятствования</w:t>
      </w:r>
      <w:r w:rsidRPr="0077776F">
        <w:rPr>
          <w:rFonts w:ascii="Times New Roman" w:hAnsi="Times New Roman" w:cs="Times New Roman"/>
          <w:sz w:val="28"/>
          <w:szCs w:val="28"/>
        </w:rPr>
        <w:t>,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E12EC1">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0" w:name="Par1679"/>
      <w:bookmarkEnd w:id="10"/>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E12EC1"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1" w:name="Par1686"/>
      <w:bookmarkEnd w:id="11"/>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2" w:name="Par1691"/>
      <w:bookmarkEnd w:id="12"/>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 xml:space="preserve">а также государственных внебюджетных фондов в </w:t>
      </w:r>
      <w:r w:rsidR="00766CDB" w:rsidRPr="0077776F">
        <w:rPr>
          <w:rFonts w:ascii="Times New Roman" w:hAnsi="Times New Roman" w:cs="Times New Roman"/>
          <w:b/>
          <w:sz w:val="28"/>
          <w:szCs w:val="28"/>
        </w:rPr>
        <w:lastRenderedPageBreak/>
        <w:t>реализации подпрограммы</w:t>
      </w:r>
    </w:p>
    <w:p w:rsidR="004D34DF" w:rsidRPr="008B0E2C" w:rsidRDefault="004D34DF" w:rsidP="004D34DF">
      <w:pPr>
        <w:spacing w:after="0" w:line="240" w:lineRule="auto"/>
        <w:ind w:firstLine="709"/>
        <w:jc w:val="both"/>
        <w:rPr>
          <w:rFonts w:ascii="Times New Roman" w:hAnsi="Times New Roman" w:cs="Times New Roman"/>
          <w:sz w:val="28"/>
          <w:szCs w:val="28"/>
        </w:rPr>
      </w:pPr>
      <w:bookmarkStart w:id="13" w:name="Par1711"/>
      <w:bookmarkStart w:id="14" w:name="Par1719"/>
      <w:bookmarkEnd w:id="13"/>
      <w:bookmarkEnd w:id="14"/>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Мероприятия подпрограммы планируется реализовывать с участием АО «Агентство по привлечению инвестиций Курской области» (далее </w:t>
      </w:r>
      <w:r>
        <w:rPr>
          <w:rFonts w:ascii="Times New Roman" w:hAnsi="Times New Roman" w:cs="Times New Roman"/>
          <w:sz w:val="28"/>
          <w:szCs w:val="28"/>
        </w:rPr>
        <w:t>–</w:t>
      </w:r>
      <w:r w:rsidRPr="008B0E2C">
        <w:rPr>
          <w:rFonts w:ascii="Times New Roman" w:hAnsi="Times New Roman" w:cs="Times New Roman"/>
          <w:sz w:val="28"/>
          <w:szCs w:val="28"/>
        </w:rPr>
        <w:t xml:space="preserve">  Агентство) 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 (далее – Корпорация).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Агентство создано в 2012 году.</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Агентства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привлечению инвестиций в экономику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потенциальных инвестиционных возможностей на территории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внешних инвесторов;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8B0E2C">
        <w:rPr>
          <w:rFonts w:ascii="Times New Roman" w:hAnsi="Times New Roman" w:cs="Times New Roman"/>
          <w:sz w:val="28"/>
          <w:szCs w:val="28"/>
        </w:rPr>
        <w:t>комплексного</w:t>
      </w:r>
      <w:proofErr w:type="gramEnd"/>
      <w:r w:rsidRPr="008B0E2C">
        <w:rPr>
          <w:rFonts w:ascii="Times New Roman" w:hAnsi="Times New Roman" w:cs="Times New Roman"/>
          <w:sz w:val="28"/>
          <w:szCs w:val="28"/>
        </w:rPr>
        <w:t xml:space="preserve"> социально-экономического развития Курской области</w:t>
      </w:r>
      <w:r>
        <w:rPr>
          <w:rFonts w:ascii="Times New Roman" w:hAnsi="Times New Roman" w:cs="Times New Roman"/>
          <w:sz w:val="28"/>
          <w:szCs w:val="28"/>
        </w:rPr>
        <w:t>.</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Корпорация создана в 2020 году. </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Корпорации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исследования конъюнктуры рынка инвестиций;</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D34DF"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распространение информации об инвестицион</w:t>
      </w:r>
      <w:r>
        <w:rPr>
          <w:rFonts w:ascii="Times New Roman" w:hAnsi="Times New Roman" w:cs="Times New Roman"/>
          <w:sz w:val="28"/>
          <w:szCs w:val="28"/>
        </w:rPr>
        <w:t>ном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8A3491">
        <w:rPr>
          <w:rFonts w:ascii="Times New Roman" w:hAnsi="Times New Roman" w:cs="Times New Roman"/>
          <w:sz w:val="28"/>
          <w:szCs w:val="28"/>
        </w:rPr>
        <w:t>405 761,275</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8A3491">
        <w:rPr>
          <w:rFonts w:ascii="Times New Roman" w:hAnsi="Times New Roman" w:cs="Times New Roman"/>
          <w:sz w:val="28"/>
          <w:szCs w:val="28"/>
        </w:rPr>
        <w:t>42 815,989</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42 425,938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47 003,738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42 664,249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A3491">
        <w:rPr>
          <w:rFonts w:ascii="Times New Roman" w:hAnsi="Times New Roman" w:cs="Times New Roman"/>
          <w:sz w:val="28"/>
          <w:szCs w:val="28"/>
        </w:rPr>
        <w:t>338 697,075</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4D34DF">
        <w:rPr>
          <w:rFonts w:ascii="Times New Roman" w:hAnsi="Times New Roman" w:cs="Times New Roman"/>
          <w:sz w:val="28"/>
          <w:szCs w:val="28"/>
        </w:rPr>
        <w:t>2</w:t>
      </w:r>
      <w:r w:rsidR="008A3491">
        <w:rPr>
          <w:rFonts w:ascii="Times New Roman" w:hAnsi="Times New Roman" w:cs="Times New Roman"/>
          <w:sz w:val="28"/>
          <w:szCs w:val="28"/>
        </w:rPr>
        <w:t>9 106,289</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22 985,838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22 985,838</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42 664,249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4D34DF">
        <w:rPr>
          <w:rFonts w:ascii="Times New Roman" w:hAnsi="Times New Roman" w:cs="Times New Roman"/>
          <w:sz w:val="28"/>
          <w:szCs w:val="28"/>
        </w:rPr>
        <w:t>67 064,200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4D34DF" w:rsidRPr="006A7B08"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24 017,900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4DF" w:rsidRDefault="004D34DF" w:rsidP="00917B29">
      <w:pPr>
        <w:spacing w:after="0" w:line="240" w:lineRule="auto"/>
      </w:pPr>
      <w:r>
        <w:separator/>
      </w:r>
    </w:p>
  </w:endnote>
  <w:endnote w:type="continuationSeparator" w:id="0">
    <w:p w:rsidR="004D34DF" w:rsidRDefault="004D34DF"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4DF" w:rsidRDefault="004D34DF" w:rsidP="00917B29">
      <w:pPr>
        <w:spacing w:after="0" w:line="240" w:lineRule="auto"/>
      </w:pPr>
      <w:r>
        <w:separator/>
      </w:r>
    </w:p>
  </w:footnote>
  <w:footnote w:type="continuationSeparator" w:id="0">
    <w:p w:rsidR="004D34DF" w:rsidRDefault="004D34DF"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4D34DF" w:rsidRDefault="00E12EC1">
        <w:pPr>
          <w:pStyle w:val="a4"/>
          <w:jc w:val="center"/>
        </w:pPr>
        <w:fldSimple w:instr=" PAGE   \* MERGEFORMAT ">
          <w:r w:rsidR="008A3491">
            <w:rPr>
              <w:noProof/>
            </w:rPr>
            <w:t>86</w:t>
          </w:r>
        </w:fldSimple>
      </w:p>
    </w:sdtContent>
  </w:sdt>
  <w:p w:rsidR="004D34DF" w:rsidRDefault="004D34D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4D34DF" w:rsidRDefault="00E12EC1">
        <w:pPr>
          <w:pStyle w:val="a4"/>
          <w:jc w:val="center"/>
        </w:pPr>
        <w:fldSimple w:instr=" PAGE   \* MERGEFORMAT ">
          <w:r w:rsidR="008A3491">
            <w:rPr>
              <w:noProof/>
            </w:rPr>
            <w:t>52</w:t>
          </w:r>
        </w:fldSimple>
      </w:p>
    </w:sdtContent>
  </w:sdt>
  <w:p w:rsidR="004D34DF" w:rsidRDefault="004D34D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7585"/>
    <w:rsid w:val="00067ED3"/>
    <w:rsid w:val="00073CD2"/>
    <w:rsid w:val="000745DF"/>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68F0"/>
    <w:rsid w:val="000E785F"/>
    <w:rsid w:val="000E7B7F"/>
    <w:rsid w:val="000F4F5F"/>
    <w:rsid w:val="000F6E93"/>
    <w:rsid w:val="000F711D"/>
    <w:rsid w:val="00101223"/>
    <w:rsid w:val="00101A7B"/>
    <w:rsid w:val="00104798"/>
    <w:rsid w:val="00104D8E"/>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436C"/>
    <w:rsid w:val="001A7BB1"/>
    <w:rsid w:val="001B0E2D"/>
    <w:rsid w:val="001B63EF"/>
    <w:rsid w:val="001B6750"/>
    <w:rsid w:val="001C1A8B"/>
    <w:rsid w:val="001C2682"/>
    <w:rsid w:val="001C4E52"/>
    <w:rsid w:val="001C66E4"/>
    <w:rsid w:val="001C729F"/>
    <w:rsid w:val="001C7F69"/>
    <w:rsid w:val="001D6F62"/>
    <w:rsid w:val="001E3B32"/>
    <w:rsid w:val="001F0041"/>
    <w:rsid w:val="001F053D"/>
    <w:rsid w:val="001F4DB2"/>
    <w:rsid w:val="001F6058"/>
    <w:rsid w:val="00201AEE"/>
    <w:rsid w:val="00202C1B"/>
    <w:rsid w:val="0021081C"/>
    <w:rsid w:val="0021163A"/>
    <w:rsid w:val="00212EE3"/>
    <w:rsid w:val="0021417C"/>
    <w:rsid w:val="0022777C"/>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5AC1"/>
    <w:rsid w:val="00397ABB"/>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F9B"/>
    <w:rsid w:val="00416B77"/>
    <w:rsid w:val="00420FBB"/>
    <w:rsid w:val="00422347"/>
    <w:rsid w:val="0042765E"/>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71F3"/>
    <w:rsid w:val="004D34DF"/>
    <w:rsid w:val="004D3CFC"/>
    <w:rsid w:val="004D3D96"/>
    <w:rsid w:val="004D7570"/>
    <w:rsid w:val="004E014B"/>
    <w:rsid w:val="004E31AA"/>
    <w:rsid w:val="004E3792"/>
    <w:rsid w:val="004E7821"/>
    <w:rsid w:val="004F594D"/>
    <w:rsid w:val="00500FE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BBF"/>
    <w:rsid w:val="00563C60"/>
    <w:rsid w:val="00574873"/>
    <w:rsid w:val="00574FFA"/>
    <w:rsid w:val="00575975"/>
    <w:rsid w:val="00575B12"/>
    <w:rsid w:val="0058044F"/>
    <w:rsid w:val="00584E90"/>
    <w:rsid w:val="00591F4C"/>
    <w:rsid w:val="0059437B"/>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33C0"/>
    <w:rsid w:val="00655DD5"/>
    <w:rsid w:val="00657C9C"/>
    <w:rsid w:val="00660333"/>
    <w:rsid w:val="006667B6"/>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FC1"/>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AA4"/>
    <w:rsid w:val="00837639"/>
    <w:rsid w:val="00837DF0"/>
    <w:rsid w:val="00854E95"/>
    <w:rsid w:val="00856185"/>
    <w:rsid w:val="00866EB2"/>
    <w:rsid w:val="00867B8C"/>
    <w:rsid w:val="00886420"/>
    <w:rsid w:val="008906D0"/>
    <w:rsid w:val="008916FB"/>
    <w:rsid w:val="00893243"/>
    <w:rsid w:val="008964CE"/>
    <w:rsid w:val="008A3491"/>
    <w:rsid w:val="008A57EB"/>
    <w:rsid w:val="008A62C7"/>
    <w:rsid w:val="008B1F1F"/>
    <w:rsid w:val="008B3987"/>
    <w:rsid w:val="008B6C34"/>
    <w:rsid w:val="008B6CDB"/>
    <w:rsid w:val="008C28F2"/>
    <w:rsid w:val="008C5DF3"/>
    <w:rsid w:val="008C6084"/>
    <w:rsid w:val="008C6C4D"/>
    <w:rsid w:val="008C746E"/>
    <w:rsid w:val="008D2C70"/>
    <w:rsid w:val="008D690A"/>
    <w:rsid w:val="008D7A8F"/>
    <w:rsid w:val="008E122E"/>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963"/>
    <w:rsid w:val="00936449"/>
    <w:rsid w:val="0093653B"/>
    <w:rsid w:val="009429D0"/>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5C88"/>
    <w:rsid w:val="00A079DF"/>
    <w:rsid w:val="00A07DEC"/>
    <w:rsid w:val="00A11B16"/>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58D8"/>
    <w:rsid w:val="00B40C61"/>
    <w:rsid w:val="00B41698"/>
    <w:rsid w:val="00B43248"/>
    <w:rsid w:val="00B46FDB"/>
    <w:rsid w:val="00B56537"/>
    <w:rsid w:val="00B56672"/>
    <w:rsid w:val="00B61EDA"/>
    <w:rsid w:val="00B65EC2"/>
    <w:rsid w:val="00B67730"/>
    <w:rsid w:val="00B816E8"/>
    <w:rsid w:val="00B823FA"/>
    <w:rsid w:val="00B917BB"/>
    <w:rsid w:val="00B94822"/>
    <w:rsid w:val="00B94C94"/>
    <w:rsid w:val="00B97E05"/>
    <w:rsid w:val="00BA211B"/>
    <w:rsid w:val="00BA7097"/>
    <w:rsid w:val="00BB30A4"/>
    <w:rsid w:val="00BB4721"/>
    <w:rsid w:val="00BB4F5C"/>
    <w:rsid w:val="00BB77D8"/>
    <w:rsid w:val="00BC1220"/>
    <w:rsid w:val="00BC1527"/>
    <w:rsid w:val="00BC31B9"/>
    <w:rsid w:val="00BC5B42"/>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7B2C"/>
    <w:rsid w:val="00CF0897"/>
    <w:rsid w:val="00CF4FEE"/>
    <w:rsid w:val="00CF7DF8"/>
    <w:rsid w:val="00D00696"/>
    <w:rsid w:val="00D11089"/>
    <w:rsid w:val="00D21913"/>
    <w:rsid w:val="00D27DA4"/>
    <w:rsid w:val="00D30928"/>
    <w:rsid w:val="00D426BE"/>
    <w:rsid w:val="00D429B8"/>
    <w:rsid w:val="00D42F21"/>
    <w:rsid w:val="00D43066"/>
    <w:rsid w:val="00D51352"/>
    <w:rsid w:val="00D56C1E"/>
    <w:rsid w:val="00D749EC"/>
    <w:rsid w:val="00D8610C"/>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99"/>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1DCBBC2EE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0D8BFCCE8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1D6BDC2EE1225930760A00AIAU4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I0UDG" TargetMode="External"/><Relationship Id="rId4" Type="http://schemas.openxmlformats.org/officeDocument/2006/relationships/settings" Target="settings.xml"/><Relationship Id="rId9" Type="http://schemas.openxmlformats.org/officeDocument/2006/relationships/hyperlink" Target="consultantplus://offline/ref=103B7374B26594898F7DEA1C222D48A4CB6E1698EBD9BFC1E04F2F9B5E6CA20DAB2E0FC13C235C2420C7IBU2G"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39C4-6D9F-4EBA-9BE7-F14FAE13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36</Pages>
  <Words>9573</Words>
  <Characters>73903</Characters>
  <Application>Microsoft Office Word</Application>
  <DocSecurity>0</DocSecurity>
  <Lines>615</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14</cp:revision>
  <cp:lastPrinted>2016-04-06T12:04:00Z</cp:lastPrinted>
  <dcterms:created xsi:type="dcterms:W3CDTF">2019-03-01T08:08:00Z</dcterms:created>
  <dcterms:modified xsi:type="dcterms:W3CDTF">2021-08-16T08:13:00Z</dcterms:modified>
</cp:coreProperties>
</file>