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6812D4" w:rsidRDefault="00482FCC">
      <w:pPr>
        <w:tabs>
          <w:tab w:val="left" w:pos="5977"/>
        </w:tabs>
        <w:jc w:val="center"/>
        <w:rPr>
          <w:b/>
          <w:sz w:val="27"/>
          <w:szCs w:val="27"/>
        </w:rPr>
      </w:pPr>
      <w:r w:rsidRPr="006812D4">
        <w:rPr>
          <w:b/>
          <w:sz w:val="27"/>
          <w:szCs w:val="27"/>
        </w:rPr>
        <w:t>ПОЯСНИТЕЛЬНАЯ ЗАПИСКА</w:t>
      </w:r>
    </w:p>
    <w:p w14:paraId="419E5A67" w14:textId="77777777" w:rsidR="006812D4" w:rsidRDefault="00482FCC" w:rsidP="006812D4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6812D4">
        <w:rPr>
          <w:b/>
          <w:sz w:val="27"/>
          <w:szCs w:val="27"/>
        </w:rPr>
        <w:t xml:space="preserve">к проекту приказа </w:t>
      </w:r>
      <w:r w:rsidR="00662B14" w:rsidRPr="006812D4">
        <w:rPr>
          <w:b/>
          <w:sz w:val="27"/>
          <w:szCs w:val="27"/>
        </w:rPr>
        <w:t>управления</w:t>
      </w:r>
      <w:r w:rsidR="0025247A" w:rsidRPr="006812D4">
        <w:rPr>
          <w:b/>
          <w:sz w:val="27"/>
          <w:szCs w:val="27"/>
        </w:rPr>
        <w:t xml:space="preserve"> по государственной</w:t>
      </w:r>
      <w:r w:rsidR="003D70E7" w:rsidRPr="006812D4">
        <w:rPr>
          <w:b/>
          <w:sz w:val="27"/>
          <w:szCs w:val="27"/>
        </w:rPr>
        <w:t xml:space="preserve"> охране объектов культурного наследия </w:t>
      </w:r>
      <w:r w:rsidRPr="006812D4">
        <w:rPr>
          <w:b/>
          <w:sz w:val="27"/>
          <w:szCs w:val="27"/>
        </w:rPr>
        <w:t xml:space="preserve">Курской области </w:t>
      </w:r>
      <w:r w:rsidR="008314AD" w:rsidRPr="006812D4">
        <w:rPr>
          <w:b/>
          <w:sz w:val="27"/>
          <w:szCs w:val="27"/>
        </w:rPr>
        <w:t>«</w:t>
      </w:r>
      <w:r w:rsidR="006812D4" w:rsidRPr="006812D4">
        <w:rPr>
          <w:b/>
          <w:bCs/>
          <w:color w:val="auto"/>
          <w:sz w:val="27"/>
          <w:szCs w:val="27"/>
        </w:rPr>
        <w:t xml:space="preserve">Об утверждении предмета охраны объекта культурного наследия регионального значения «Дом купцов Поповых», середина XIX века, расположенного по адресу: Курская область, Железногорский район, слобода Михайловка, </w:t>
      </w:r>
    </w:p>
    <w:p w14:paraId="26D31FDE" w14:textId="0C4B58E7" w:rsidR="006604A3" w:rsidRPr="006812D4" w:rsidRDefault="006812D4" w:rsidP="006812D4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6812D4">
        <w:rPr>
          <w:b/>
          <w:bCs/>
          <w:color w:val="auto"/>
          <w:sz w:val="27"/>
          <w:szCs w:val="27"/>
        </w:rPr>
        <w:t>переулок Больничный, дом 2</w:t>
      </w:r>
      <w:r w:rsidR="008314AD" w:rsidRPr="006812D4">
        <w:rPr>
          <w:b/>
          <w:sz w:val="27"/>
          <w:szCs w:val="27"/>
        </w:rPr>
        <w:t>»</w:t>
      </w:r>
    </w:p>
    <w:p w14:paraId="51F13F43" w14:textId="77777777" w:rsidR="005070B1" w:rsidRPr="006812D4" w:rsidRDefault="005070B1">
      <w:pPr>
        <w:tabs>
          <w:tab w:val="left" w:pos="5977"/>
        </w:tabs>
        <w:jc w:val="center"/>
        <w:rPr>
          <w:sz w:val="27"/>
          <w:szCs w:val="27"/>
        </w:rPr>
      </w:pPr>
    </w:p>
    <w:p w14:paraId="7391BBFA" w14:textId="19F98F5D" w:rsidR="006812D4" w:rsidRPr="006812D4" w:rsidRDefault="008B2664" w:rsidP="006812D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Данный проект приказа подготовлен в целях осуществления полномочий </w:t>
      </w:r>
      <w:r w:rsidR="00662B14" w:rsidRPr="006812D4">
        <w:rPr>
          <w:sz w:val="27"/>
          <w:szCs w:val="27"/>
        </w:rPr>
        <w:t>управления</w:t>
      </w:r>
      <w:r w:rsidR="0025247A" w:rsidRPr="006812D4">
        <w:rPr>
          <w:sz w:val="27"/>
          <w:szCs w:val="27"/>
        </w:rPr>
        <w:t xml:space="preserve"> по государственной охране </w:t>
      </w:r>
      <w:r w:rsidRPr="006812D4">
        <w:rPr>
          <w:sz w:val="27"/>
          <w:szCs w:val="27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73-ФЗ «Об объектах культурного наследия (памятниках истории и культуры) народов Российской Федерации».</w:t>
      </w:r>
    </w:p>
    <w:p w14:paraId="4BFE0078" w14:textId="6A23E8BB" w:rsidR="006812D4" w:rsidRPr="006812D4" w:rsidRDefault="006812D4" w:rsidP="006812D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Проект предмета охраны представлен в </w:t>
      </w:r>
      <w:r w:rsidRPr="006812D4">
        <w:rPr>
          <w:sz w:val="27"/>
          <w:szCs w:val="27"/>
        </w:rPr>
        <w:t>а</w:t>
      </w:r>
      <w:r w:rsidRPr="006812D4">
        <w:rPr>
          <w:sz w:val="27"/>
          <w:szCs w:val="27"/>
        </w:rPr>
        <w:t xml:space="preserve">кте государственной историко-культурной экспертизы, обосновывающей включение в </w:t>
      </w:r>
      <w:r w:rsidRPr="006812D4">
        <w:rPr>
          <w:sz w:val="27"/>
          <w:szCs w:val="27"/>
        </w:rPr>
        <w:t>е</w:t>
      </w:r>
      <w:r w:rsidRPr="006812D4">
        <w:rPr>
          <w:sz w:val="27"/>
          <w:szCs w:val="27"/>
        </w:rPr>
        <w:t xml:space="preserve">диный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наследия: «Бывший купеческий дом Поповых», по адресу (местонахождение): Российская Федерация, Курская область, Железногорский район, слобода Михайловка, переулок Больничный, </w:t>
      </w:r>
      <w:r w:rsidRPr="006812D4">
        <w:rPr>
          <w:sz w:val="27"/>
          <w:szCs w:val="27"/>
        </w:rPr>
        <w:t xml:space="preserve">               </w:t>
      </w:r>
      <w:r w:rsidRPr="006812D4">
        <w:rPr>
          <w:sz w:val="27"/>
          <w:szCs w:val="27"/>
        </w:rPr>
        <w:t xml:space="preserve">дом 2, от </w:t>
      </w:r>
      <w:r w:rsidRPr="006812D4">
        <w:rPr>
          <w:sz w:val="27"/>
          <w:szCs w:val="27"/>
        </w:rPr>
        <w:t>03 декабря</w:t>
      </w:r>
      <w:r w:rsidRPr="006812D4">
        <w:rPr>
          <w:sz w:val="27"/>
          <w:szCs w:val="27"/>
        </w:rPr>
        <w:t xml:space="preserve"> 2025 года, выполненной аттестованным государственным экспертом Е.В. Холодовой (приказ Министерства культуры Российской Федерации</w:t>
      </w:r>
      <w:r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 xml:space="preserve">от 26 мая 2025 г. № 927 «Об аттестации экспертов </w:t>
      </w:r>
      <w:r>
        <w:rPr>
          <w:sz w:val="27"/>
          <w:szCs w:val="27"/>
        </w:rPr>
        <w:t xml:space="preserve">                </w:t>
      </w:r>
      <w:r w:rsidRPr="006812D4">
        <w:rPr>
          <w:sz w:val="27"/>
          <w:szCs w:val="27"/>
        </w:rPr>
        <w:t>по проведению государственной историко-культурной экспертизы»).</w:t>
      </w:r>
    </w:p>
    <w:p w14:paraId="6242D162" w14:textId="3DF413B8" w:rsidR="00662B14" w:rsidRPr="006812D4" w:rsidRDefault="00662B14" w:rsidP="00662B1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В соответствии с постановлением Администрации Курской области  </w:t>
      </w:r>
      <w:r w:rsidR="006812D4">
        <w:rPr>
          <w:sz w:val="27"/>
          <w:szCs w:val="27"/>
        </w:rPr>
        <w:t xml:space="preserve">             </w:t>
      </w:r>
      <w:r w:rsidRPr="006812D4">
        <w:rPr>
          <w:sz w:val="27"/>
          <w:szCs w:val="27"/>
        </w:rPr>
        <w:t xml:space="preserve">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приказа </w:t>
      </w:r>
      <w:r w:rsidR="00B254CE" w:rsidRPr="006812D4">
        <w:rPr>
          <w:sz w:val="27"/>
          <w:szCs w:val="27"/>
        </w:rPr>
        <w:t>22</w:t>
      </w:r>
      <w:r w:rsidRPr="006812D4">
        <w:rPr>
          <w:sz w:val="27"/>
          <w:szCs w:val="27"/>
        </w:rPr>
        <w:t xml:space="preserve">.12.2025 </w:t>
      </w:r>
      <w:r w:rsidR="00DC3E1D" w:rsidRPr="006812D4">
        <w:rPr>
          <w:sz w:val="27"/>
          <w:szCs w:val="27"/>
        </w:rPr>
        <w:t>был опубликован</w:t>
      </w:r>
      <w:r w:rsidRPr="006812D4">
        <w:rPr>
          <w:sz w:val="27"/>
          <w:szCs w:val="27"/>
        </w:rPr>
        <w:t xml:space="preserve"> на официальном сайте Губернатора</w:t>
      </w:r>
      <w:r w:rsidR="00DC3E1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5A784FAE" w14:textId="77777777" w:rsidR="00662B14" w:rsidRPr="006812D4" w:rsidRDefault="00662B14" w:rsidP="00662B14">
      <w:pPr>
        <w:ind w:firstLine="720"/>
        <w:jc w:val="both"/>
        <w:rPr>
          <w:spacing w:val="2"/>
          <w:sz w:val="27"/>
          <w:szCs w:val="27"/>
        </w:rPr>
      </w:pPr>
      <w:r w:rsidRPr="006812D4">
        <w:rPr>
          <w:sz w:val="27"/>
          <w:szCs w:val="27"/>
        </w:rPr>
        <w:t>Срок общественного обсуждения – 10 календарных дней</w:t>
      </w:r>
      <w:r w:rsidR="008B2664" w:rsidRPr="006812D4">
        <w:rPr>
          <w:spacing w:val="2"/>
          <w:sz w:val="27"/>
          <w:szCs w:val="27"/>
        </w:rPr>
        <w:t>.</w:t>
      </w:r>
    </w:p>
    <w:p w14:paraId="4C0197AF" w14:textId="35E240EC" w:rsidR="008B2664" w:rsidRPr="006812D4" w:rsidRDefault="008B2664" w:rsidP="00662B14">
      <w:pPr>
        <w:ind w:firstLine="720"/>
        <w:jc w:val="both"/>
        <w:rPr>
          <w:sz w:val="27"/>
          <w:szCs w:val="27"/>
        </w:rPr>
      </w:pPr>
      <w:r w:rsidRPr="006812D4">
        <w:rPr>
          <w:spacing w:val="2"/>
          <w:sz w:val="27"/>
          <w:szCs w:val="27"/>
        </w:rPr>
        <w:t xml:space="preserve">Замечаний и предложений </w:t>
      </w:r>
      <w:r w:rsidR="00662B14" w:rsidRPr="006812D4">
        <w:rPr>
          <w:spacing w:val="2"/>
          <w:sz w:val="27"/>
          <w:szCs w:val="27"/>
        </w:rPr>
        <w:t xml:space="preserve">к данному проекту приказа                                </w:t>
      </w:r>
      <w:r w:rsidRPr="006812D4">
        <w:rPr>
          <w:spacing w:val="2"/>
          <w:sz w:val="27"/>
          <w:szCs w:val="27"/>
        </w:rPr>
        <w:t>не поступило.</w:t>
      </w:r>
    </w:p>
    <w:p w14:paraId="7424EBCA" w14:textId="36E72FDA" w:rsidR="008B2664" w:rsidRPr="006812D4" w:rsidRDefault="008B2664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  <w:r w:rsidRPr="006812D4">
        <w:rPr>
          <w:spacing w:val="2"/>
          <w:sz w:val="27"/>
          <w:szCs w:val="27"/>
        </w:rPr>
        <w:t xml:space="preserve">Принятие данного приказа </w:t>
      </w:r>
      <w:r w:rsidR="00662B14" w:rsidRPr="006812D4">
        <w:rPr>
          <w:spacing w:val="2"/>
          <w:sz w:val="27"/>
          <w:szCs w:val="27"/>
        </w:rPr>
        <w:t>управления</w:t>
      </w:r>
      <w:r w:rsidR="0025247A" w:rsidRPr="006812D4">
        <w:rPr>
          <w:spacing w:val="2"/>
          <w:sz w:val="27"/>
          <w:szCs w:val="27"/>
        </w:rPr>
        <w:t xml:space="preserve"> по государственной охране </w:t>
      </w:r>
      <w:r w:rsidRPr="006812D4">
        <w:rPr>
          <w:spacing w:val="2"/>
          <w:sz w:val="27"/>
          <w:szCs w:val="27"/>
        </w:rPr>
        <w:t>объектов культурного наследия Курской области приведет</w:t>
      </w:r>
      <w:r w:rsidR="00662B14" w:rsidRPr="006812D4">
        <w:rPr>
          <w:spacing w:val="2"/>
          <w:sz w:val="27"/>
          <w:szCs w:val="27"/>
        </w:rPr>
        <w:t xml:space="preserve"> </w:t>
      </w:r>
      <w:r w:rsidRPr="006812D4">
        <w:rPr>
          <w:spacing w:val="2"/>
          <w:sz w:val="27"/>
          <w:szCs w:val="27"/>
        </w:rPr>
        <w:t>к нейтральным социально-экономическим и общественным последствиям.</w:t>
      </w:r>
    </w:p>
    <w:p w14:paraId="28250CB4" w14:textId="77777777" w:rsidR="00B33D6C" w:rsidRDefault="00B33D6C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7D150BE8" w14:textId="77777777" w:rsidR="006812D4" w:rsidRPr="006812D4" w:rsidRDefault="006812D4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2F10C435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bookmarkStart w:id="0" w:name="_Hlk216872948"/>
      <w:r w:rsidRPr="006812D4">
        <w:rPr>
          <w:sz w:val="27"/>
          <w:szCs w:val="27"/>
        </w:rPr>
        <w:t>Начальник управления разрешительной</w:t>
      </w:r>
    </w:p>
    <w:p w14:paraId="3143E0C0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документации и учета объектов </w:t>
      </w:r>
    </w:p>
    <w:p w14:paraId="1411E1C5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культурного наследия Министерства </w:t>
      </w:r>
    </w:p>
    <w:p w14:paraId="0D0F0901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по государственной охране </w:t>
      </w:r>
    </w:p>
    <w:p w14:paraId="14D914F4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объектов культурного наследия </w:t>
      </w:r>
    </w:p>
    <w:p w14:paraId="15FFAFB1" w14:textId="76BE23FF" w:rsidR="005070B1" w:rsidRPr="006812D4" w:rsidRDefault="00DC3E1D" w:rsidP="006812D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Курской области                                                                             </w:t>
      </w:r>
      <w:r w:rsidR="006812D4">
        <w:rPr>
          <w:sz w:val="27"/>
          <w:szCs w:val="27"/>
        </w:rPr>
        <w:t xml:space="preserve">     </w:t>
      </w:r>
      <w:r w:rsidRPr="006812D4">
        <w:rPr>
          <w:sz w:val="27"/>
          <w:szCs w:val="27"/>
        </w:rPr>
        <w:t>А.И. К</w:t>
      </w:r>
      <w:proofErr w:type="spellStart"/>
      <w:r w:rsidRPr="006812D4">
        <w:rPr>
          <w:sz w:val="27"/>
          <w:szCs w:val="27"/>
        </w:rPr>
        <w:t>уткова</w:t>
      </w:r>
      <w:bookmarkEnd w:id="0"/>
      <w:proofErr w:type="spellEnd"/>
    </w:p>
    <w:sectPr w:rsidR="005070B1" w:rsidRPr="006812D4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E44E8"/>
    <w:rsid w:val="00106D0A"/>
    <w:rsid w:val="001127BB"/>
    <w:rsid w:val="001629CC"/>
    <w:rsid w:val="001B7D22"/>
    <w:rsid w:val="001F2BC9"/>
    <w:rsid w:val="002465A1"/>
    <w:rsid w:val="00247304"/>
    <w:rsid w:val="0025247A"/>
    <w:rsid w:val="00292B1B"/>
    <w:rsid w:val="002D00A4"/>
    <w:rsid w:val="002E3664"/>
    <w:rsid w:val="00306C40"/>
    <w:rsid w:val="00313D43"/>
    <w:rsid w:val="00314FBB"/>
    <w:rsid w:val="00336FCE"/>
    <w:rsid w:val="0035487D"/>
    <w:rsid w:val="00354C9A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579C7"/>
    <w:rsid w:val="005659A6"/>
    <w:rsid w:val="00586381"/>
    <w:rsid w:val="005B1D0A"/>
    <w:rsid w:val="005D35AC"/>
    <w:rsid w:val="00601E9A"/>
    <w:rsid w:val="00633D81"/>
    <w:rsid w:val="00635E5B"/>
    <w:rsid w:val="006604A3"/>
    <w:rsid w:val="00662B14"/>
    <w:rsid w:val="006812D4"/>
    <w:rsid w:val="00694344"/>
    <w:rsid w:val="006B3310"/>
    <w:rsid w:val="00761239"/>
    <w:rsid w:val="00781623"/>
    <w:rsid w:val="007B06D0"/>
    <w:rsid w:val="007D6271"/>
    <w:rsid w:val="007F7AAB"/>
    <w:rsid w:val="00811FA9"/>
    <w:rsid w:val="008314AD"/>
    <w:rsid w:val="008377A0"/>
    <w:rsid w:val="00852CBA"/>
    <w:rsid w:val="00864ED9"/>
    <w:rsid w:val="0087254A"/>
    <w:rsid w:val="008A00EB"/>
    <w:rsid w:val="008A32F7"/>
    <w:rsid w:val="008B2664"/>
    <w:rsid w:val="008F70F3"/>
    <w:rsid w:val="00944BB0"/>
    <w:rsid w:val="00944D8C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633F3"/>
    <w:rsid w:val="00A71888"/>
    <w:rsid w:val="00AC4B9B"/>
    <w:rsid w:val="00AE3006"/>
    <w:rsid w:val="00B254CE"/>
    <w:rsid w:val="00B33D6C"/>
    <w:rsid w:val="00B71BE6"/>
    <w:rsid w:val="00B81CE7"/>
    <w:rsid w:val="00B87145"/>
    <w:rsid w:val="00BE301D"/>
    <w:rsid w:val="00BF0290"/>
    <w:rsid w:val="00C53D0A"/>
    <w:rsid w:val="00C61C13"/>
    <w:rsid w:val="00C80288"/>
    <w:rsid w:val="00C82879"/>
    <w:rsid w:val="00CC16B3"/>
    <w:rsid w:val="00D02DA6"/>
    <w:rsid w:val="00D804E4"/>
    <w:rsid w:val="00DA4E05"/>
    <w:rsid w:val="00DC3E1D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600A6"/>
    <w:rsid w:val="00E636A6"/>
    <w:rsid w:val="00EB02A2"/>
    <w:rsid w:val="00EE148C"/>
    <w:rsid w:val="00EF0E09"/>
    <w:rsid w:val="00F0705F"/>
    <w:rsid w:val="00F24ADE"/>
    <w:rsid w:val="00F44590"/>
    <w:rsid w:val="00F47204"/>
    <w:rsid w:val="00F65A54"/>
    <w:rsid w:val="00FA7FEA"/>
    <w:rsid w:val="00FB3F6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107</cp:revision>
  <cp:lastPrinted>2025-12-17T11:08:00Z</cp:lastPrinted>
  <dcterms:created xsi:type="dcterms:W3CDTF">2020-12-08T13:50:00Z</dcterms:created>
  <dcterms:modified xsi:type="dcterms:W3CDTF">2025-12-22T13:35:00Z</dcterms:modified>
</cp:coreProperties>
</file>