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A32CA6">
        <w:rPr>
          <w:bCs/>
        </w:rPr>
        <w:t>29</w:t>
      </w:r>
      <w:r w:rsidR="003709FA">
        <w:rPr>
          <w:bCs/>
        </w:rPr>
        <w:t>.</w:t>
      </w:r>
      <w:r w:rsidR="00026B39">
        <w:rPr>
          <w:bCs/>
        </w:rPr>
        <w:t>1</w:t>
      </w:r>
      <w:r w:rsidR="00A32CA6">
        <w:rPr>
          <w:bCs/>
        </w:rPr>
        <w:t>2</w:t>
      </w:r>
      <w:r w:rsidR="003709FA">
        <w:rPr>
          <w:bCs/>
        </w:rPr>
        <w:t>.</w:t>
      </w:r>
      <w:r w:rsidR="006A7BB6" w:rsidRPr="00776520">
        <w:rPr>
          <w:bCs/>
        </w:rPr>
        <w:t>20</w:t>
      </w:r>
      <w:r w:rsidR="009D7AEC">
        <w:rPr>
          <w:bCs/>
        </w:rPr>
        <w:t>2</w:t>
      </w:r>
      <w:r w:rsidR="0027169C">
        <w:rPr>
          <w:bCs/>
        </w:rPr>
        <w:t>1</w:t>
      </w:r>
      <w:r w:rsidR="00EE25B2" w:rsidRPr="00776520">
        <w:rPr>
          <w:bCs/>
        </w:rPr>
        <w:t xml:space="preserve"> № </w:t>
      </w:r>
      <w:r w:rsidR="00026B39">
        <w:rPr>
          <w:bCs/>
        </w:rPr>
        <w:t>1</w:t>
      </w:r>
      <w:r w:rsidR="00A32CA6">
        <w:rPr>
          <w:bCs/>
        </w:rPr>
        <w:t>521</w:t>
      </w:r>
      <w:r w:rsidR="00026B39">
        <w:rPr>
          <w:bCs/>
        </w:rPr>
        <w:t>-па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молодеж</w:t>
            </w:r>
            <w:r w:rsidR="00251795">
              <w:rPr>
                <w:sz w:val="24"/>
                <w:szCs w:val="24"/>
              </w:rPr>
              <w:t xml:space="preserve">ной политики </w:t>
            </w:r>
            <w:r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и архитектуры Курской области</w:t>
            </w:r>
            <w:r w:rsidR="004730DA" w:rsidRPr="00B570E6">
              <w:rPr>
                <w:sz w:val="24"/>
                <w:szCs w:val="24"/>
              </w:rPr>
              <w:t xml:space="preserve"> (до 31.12.2017 года)</w:t>
            </w:r>
            <w:r w:rsidRPr="00B570E6">
              <w:rPr>
                <w:sz w:val="24"/>
                <w:szCs w:val="24"/>
              </w:rPr>
              <w:t>,</w:t>
            </w:r>
          </w:p>
          <w:p w:rsidR="004730DA" w:rsidRPr="00B570E6" w:rsidRDefault="004730DA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Курской области;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066C8B" w:rsidRPr="00B570E6" w:rsidRDefault="00066C8B" w:rsidP="00066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цифрового развития и связи Курской области,</w:t>
            </w:r>
          </w:p>
          <w:p w:rsidR="00704431" w:rsidRPr="00B570E6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B570E6" w:rsidRDefault="002517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6E2344">
              <w:rPr>
                <w:sz w:val="24"/>
                <w:szCs w:val="24"/>
              </w:rPr>
              <w:t>природных ресурсов</w:t>
            </w:r>
            <w:r w:rsidR="00704431" w:rsidRPr="00B570E6">
              <w:rPr>
                <w:sz w:val="24"/>
                <w:szCs w:val="24"/>
              </w:rPr>
              <w:t xml:space="preserve">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труду и занятости населения Курской </w:t>
            </w:r>
            <w:r w:rsidRPr="00B570E6">
              <w:rPr>
                <w:sz w:val="24"/>
                <w:szCs w:val="24"/>
              </w:rPr>
              <w:lastRenderedPageBreak/>
              <w:t>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B570E6" w:rsidRDefault="00CA3F38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704431" w:rsidRPr="00B570E6">
              <w:rPr>
                <w:i/>
                <w:sz w:val="24"/>
                <w:szCs w:val="24"/>
              </w:rPr>
              <w:t>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B570E6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</w:t>
            </w:r>
          </w:p>
          <w:p w:rsidR="00B570E6" w:rsidRPr="00B570E6" w:rsidRDefault="00B570E6" w:rsidP="00066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транспорта и автомобильных дорог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2.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3.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4.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 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7. 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благоприятных условий для осуществления деятельности </w:t>
            </w:r>
            <w:proofErr w:type="spellStart"/>
            <w:r>
              <w:rPr>
                <w:sz w:val="24"/>
                <w:szCs w:val="24"/>
              </w:rPr>
              <w:t>самозанятыми</w:t>
            </w:r>
            <w:proofErr w:type="spellEnd"/>
            <w:r>
              <w:rPr>
                <w:sz w:val="24"/>
                <w:szCs w:val="24"/>
              </w:rPr>
              <w:t xml:space="preserve">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</w:t>
            </w:r>
            <w:r w:rsidRPr="00B570E6">
              <w:rPr>
                <w:rFonts w:eastAsia="Calibri"/>
                <w:sz w:val="24"/>
                <w:szCs w:val="24"/>
              </w:rPr>
              <w:lastRenderedPageBreak/>
              <w:t>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B570E6">
              <w:rPr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B570E6">
              <w:rPr>
                <w:sz w:val="24"/>
                <w:szCs w:val="24"/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внедренных в Курской области направлений регионального экспортного стандарта </w:t>
            </w:r>
            <w:r>
              <w:rPr>
                <w:sz w:val="24"/>
                <w:szCs w:val="24"/>
              </w:rPr>
              <w:lastRenderedPageBreak/>
              <w:t>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2014 - 2024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 140 273,348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60 791,394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E63A9">
              <w:rPr>
                <w:sz w:val="24"/>
                <w:szCs w:val="24"/>
              </w:rPr>
              <w:t>54</w:t>
            </w:r>
            <w:r w:rsidR="00026B39">
              <w:rPr>
                <w:sz w:val="24"/>
                <w:szCs w:val="24"/>
              </w:rPr>
              <w:t>5 348,030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026B39">
              <w:rPr>
                <w:sz w:val="24"/>
                <w:szCs w:val="24"/>
              </w:rPr>
              <w:t>602 724,727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010FB9">
              <w:rPr>
                <w:sz w:val="24"/>
                <w:szCs w:val="24"/>
              </w:rPr>
              <w:t>567 988,831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                                      4</w:t>
            </w:r>
            <w:r w:rsidR="00A32CA6">
              <w:rPr>
                <w:sz w:val="24"/>
                <w:szCs w:val="24"/>
              </w:rPr>
              <w:t> 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98 861,866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91 663,394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E63A9">
              <w:rPr>
                <w:sz w:val="24"/>
                <w:szCs w:val="24"/>
              </w:rPr>
              <w:t>47</w:t>
            </w:r>
            <w:r w:rsidR="00026B39">
              <w:rPr>
                <w:sz w:val="24"/>
                <w:szCs w:val="24"/>
              </w:rPr>
              <w:t>5 142,230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E63A9">
              <w:rPr>
                <w:sz w:val="24"/>
                <w:szCs w:val="24"/>
              </w:rPr>
              <w:t>5</w:t>
            </w:r>
            <w:r w:rsidR="00026B39">
              <w:rPr>
                <w:sz w:val="24"/>
                <w:szCs w:val="24"/>
              </w:rPr>
              <w:t>11 123,427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2024 год – 506 761,831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EB4544">
              <w:rPr>
                <w:sz w:val="24"/>
                <w:szCs w:val="24"/>
              </w:rPr>
              <w:t> 341 411,482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lastRenderedPageBreak/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70 205,800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EB4544">
              <w:rPr>
                <w:sz w:val="24"/>
                <w:szCs w:val="24"/>
              </w:rPr>
              <w:t>91 601,300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EB4544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EB4544">
              <w:rPr>
                <w:sz w:val="24"/>
                <w:szCs w:val="24"/>
              </w:rPr>
              <w:t>61 227,000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A32CA6" w:rsidP="00A32CA6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 – 9 018 743,000</w:t>
            </w:r>
            <w:r w:rsidR="00456AB9" w:rsidRPr="00456AB9">
              <w:rPr>
                <w:sz w:val="24"/>
                <w:szCs w:val="24"/>
              </w:rPr>
              <w:t xml:space="preserve">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11</w:t>
            </w:r>
            <w:r w:rsidR="00A32CA6">
              <w:rPr>
                <w:sz w:val="24"/>
                <w:szCs w:val="24"/>
              </w:rPr>
              <w:t>6,3</w:t>
            </w:r>
            <w:r>
              <w:rPr>
                <w:sz w:val="24"/>
                <w:szCs w:val="24"/>
              </w:rPr>
              <w:t xml:space="preserve">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2024 годы четырех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2024 году до 24,5 процента;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количества внедренных в Курской области направлений регионального экспортного стандарта 2.0 до 15 единиц в 2024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удельный вес международных культурно-массовых </w:t>
            </w:r>
            <w:r w:rsidRPr="00B570E6">
              <w:rPr>
                <w:sz w:val="24"/>
                <w:szCs w:val="24"/>
              </w:rPr>
              <w:lastRenderedPageBreak/>
              <w:t>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2024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</w:t>
            </w:r>
            <w:proofErr w:type="gramStart"/>
            <w:r w:rsidRPr="00B570E6">
              <w:rPr>
                <w:sz w:val="24"/>
                <w:szCs w:val="24"/>
              </w:rPr>
              <w:t>площадках</w:t>
            </w:r>
            <w:proofErr w:type="gramEnd"/>
            <w:r w:rsidRPr="00B570E6">
              <w:rPr>
                <w:sz w:val="24"/>
                <w:szCs w:val="24"/>
              </w:rPr>
              <w:t xml:space="preserve"> </w:t>
            </w:r>
            <w:proofErr w:type="spellStart"/>
            <w:r w:rsidRPr="00B570E6">
              <w:rPr>
                <w:sz w:val="24"/>
                <w:szCs w:val="24"/>
              </w:rPr>
              <w:t>Россотрудничества</w:t>
            </w:r>
            <w:proofErr w:type="spellEnd"/>
            <w:r w:rsidRPr="00B570E6">
              <w:rPr>
                <w:sz w:val="24"/>
                <w:szCs w:val="24"/>
              </w:rPr>
              <w:t xml:space="preserve">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последние </w:t>
      </w:r>
      <w:r w:rsidR="00975A7A" w:rsidRPr="00CC2F02">
        <w:t>годы</w:t>
      </w:r>
      <w:r w:rsidRPr="00CC2F02">
        <w:t xml:space="preserve">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Совет по улучшению инвестиционного климата и ОАО «Агентство по привлечению инвестиций Курской области», внедрен  Стандарт деятельности органов исполнительной власти по обеспечению </w:t>
      </w:r>
      <w:r w:rsidRPr="00CC2F02">
        <w:lastRenderedPageBreak/>
        <w:t>благоприятного инвестиционного климата в регионе.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</w:t>
      </w:r>
      <w:proofErr w:type="spellStart"/>
      <w:r w:rsidRPr="00CC2F02">
        <w:t>Полимерпак</w:t>
      </w:r>
      <w:proofErr w:type="spellEnd"/>
      <w:r w:rsidRPr="00CC2F02">
        <w:t xml:space="preserve">» </w:t>
      </w:r>
      <w:r w:rsidRPr="00CC2F02">
        <w:noBreakHyphen/>
        <w:t xml:space="preserve"> 0,5 млн. рублей, ООО ПО «</w:t>
      </w:r>
      <w:proofErr w:type="spellStart"/>
      <w:r w:rsidRPr="00CC2F02">
        <w:t>Вагонмаш</w:t>
      </w:r>
      <w:proofErr w:type="spellEnd"/>
      <w:r w:rsidRPr="00CC2F02">
        <w:t xml:space="preserve">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</w:t>
      </w:r>
      <w:proofErr w:type="spellStart"/>
      <w:r w:rsidRPr="00CC2F02">
        <w:t>Агропромкомплектация</w:t>
      </w:r>
      <w:proofErr w:type="spellEnd"/>
      <w:r w:rsidRPr="00CC2F02">
        <w:t xml:space="preserve"> – Курск»  «Строительство племенной фермы (Нуклеус)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Железногорском</w:t>
      </w:r>
      <w:proofErr w:type="gramEnd"/>
      <w:r w:rsidRPr="00CC2F02">
        <w:t xml:space="preserve">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 xml:space="preserve">№ 927-ра земельному участку, расположенному на территории </w:t>
      </w:r>
      <w:proofErr w:type="spellStart"/>
      <w:r w:rsidRPr="00CC2F02">
        <w:t>Щетинского</w:t>
      </w:r>
      <w:proofErr w:type="spellEnd"/>
      <w:r w:rsidRPr="00CC2F02">
        <w:t xml:space="preserve">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</w:t>
      </w:r>
      <w:proofErr w:type="gramStart"/>
      <w:r w:rsidRPr="00CC2F02">
        <w:t>пятом</w:t>
      </w:r>
      <w:proofErr w:type="gramEnd"/>
      <w:r w:rsidRPr="00CC2F02">
        <w:t xml:space="preserve"> месте из 85 субъектов Российской Федерации по классификации рейтингового агентства «Эксперт РА».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566D7A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повышения информационной открытости региона с 2012 года Администрацией Курской области совместно с российским информационным агентством АК&amp;М проводится Среднерусский экономический форум, который привлекает большое количество участников, в том числе инвесторов, предпринимателей, что позволяет курскому бизнесу находить новых партнёров и расширять объёмы производства. Также проводятся значимые </w:t>
      </w:r>
      <w:proofErr w:type="spellStart"/>
      <w:r w:rsidRPr="00CC2F02">
        <w:t>имиджевые</w:t>
      </w:r>
      <w:proofErr w:type="spellEnd"/>
      <w:r w:rsidRPr="00CC2F02">
        <w:t xml:space="preserve"> мероприятия, нацеленные на позиционирование Курской области как </w:t>
      </w:r>
      <w:proofErr w:type="spellStart"/>
      <w:r w:rsidRPr="00CC2F02">
        <w:t>инвестиционно-привлекательного</w:t>
      </w:r>
      <w:proofErr w:type="spellEnd"/>
      <w:r w:rsidRPr="00CC2F02">
        <w:t xml:space="preserve"> региона, территории, благоприятной для ведения бизнеса. 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lastRenderedPageBreak/>
        <w:t xml:space="preserve">Завершена реализация на Михайловском </w:t>
      </w:r>
      <w:proofErr w:type="spellStart"/>
      <w:r w:rsidRPr="00CC2F02">
        <w:t>ГОКе</w:t>
      </w:r>
      <w:proofErr w:type="spellEnd"/>
      <w:r w:rsidRPr="00CC2F02">
        <w:t xml:space="preserve">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</w:t>
      </w:r>
      <w:proofErr w:type="spellStart"/>
      <w:r w:rsidRPr="00CC2F02">
        <w:t>Горшеченском</w:t>
      </w:r>
      <w:proofErr w:type="spellEnd"/>
      <w:r w:rsidRPr="00CC2F02">
        <w:t xml:space="preserve">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Введены в эксплуатацию мясохладобойни «Надежда» в </w:t>
      </w:r>
      <w:proofErr w:type="spellStart"/>
      <w:r w:rsidRPr="00CC2F02">
        <w:t>Суджанском</w:t>
      </w:r>
      <w:proofErr w:type="spellEnd"/>
      <w:r w:rsidRPr="00CC2F02">
        <w:t xml:space="preserve"> районе, «Подлесное» и «</w:t>
      </w:r>
      <w:proofErr w:type="spellStart"/>
      <w:r w:rsidRPr="00CC2F02">
        <w:t>Полянское</w:t>
      </w:r>
      <w:proofErr w:type="spellEnd"/>
      <w:r w:rsidRPr="00CC2F02">
        <w:t>» в Курском районе,  «</w:t>
      </w:r>
      <w:proofErr w:type="spellStart"/>
      <w:r w:rsidRPr="00CC2F02">
        <w:t>Псельское</w:t>
      </w:r>
      <w:proofErr w:type="spellEnd"/>
      <w:r w:rsidRPr="00CC2F02">
        <w:t xml:space="preserve">» в Беловском районе, Курский филиал </w:t>
      </w:r>
      <w:proofErr w:type="spellStart"/>
      <w:r w:rsidRPr="00CC2F02">
        <w:t>Губкинского</w:t>
      </w:r>
      <w:proofErr w:type="spellEnd"/>
      <w:r w:rsidRPr="00CC2F02">
        <w:t xml:space="preserve"> мясокомбината в городе Курске и «</w:t>
      </w:r>
      <w:proofErr w:type="spellStart"/>
      <w:proofErr w:type="gramStart"/>
      <w:r w:rsidRPr="00CC2F02">
        <w:t>Нива-Черноземья</w:t>
      </w:r>
      <w:proofErr w:type="spellEnd"/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</w:t>
      </w:r>
      <w:proofErr w:type="spellStart"/>
      <w:r w:rsidRPr="00CC2F02">
        <w:t>Агропромкомплектация-Курск</w:t>
      </w:r>
      <w:proofErr w:type="spellEnd"/>
      <w:r w:rsidRPr="00CC2F02">
        <w:t xml:space="preserve">» в поселке Линец </w:t>
      </w:r>
      <w:proofErr w:type="spellStart"/>
      <w:r w:rsidRPr="00CC2F02">
        <w:t>Железногорского</w:t>
      </w:r>
      <w:proofErr w:type="spellEnd"/>
      <w:r w:rsidRPr="00CC2F02">
        <w:t xml:space="preserve"> района и компанией «</w:t>
      </w:r>
      <w:proofErr w:type="spellStart"/>
      <w:r w:rsidRPr="00CC2F02">
        <w:t>Глобал-Трейд</w:t>
      </w:r>
      <w:proofErr w:type="spellEnd"/>
      <w:r w:rsidRPr="00CC2F02">
        <w:t>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последние пять лет приступили к работе 5 комбикормовых заводов, проведена реконструкция комбикормового производства в ОАО «</w:t>
      </w:r>
      <w:proofErr w:type="spellStart"/>
      <w:r w:rsidRPr="00CC2F02">
        <w:t>Щигровский</w:t>
      </w:r>
      <w:proofErr w:type="spellEnd"/>
      <w:r w:rsidRPr="00CC2F02">
        <w:t xml:space="preserve">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</w:t>
      </w:r>
      <w:proofErr w:type="spellStart"/>
      <w:r w:rsidRPr="00CC2F02">
        <w:t>Суджанском</w:t>
      </w:r>
      <w:proofErr w:type="spellEnd"/>
      <w:r w:rsidRPr="00CC2F02">
        <w:t xml:space="preserve">, Беловском, </w:t>
      </w:r>
      <w:proofErr w:type="spellStart"/>
      <w:r w:rsidRPr="00CC2F02">
        <w:t>Хомутовском</w:t>
      </w:r>
      <w:proofErr w:type="spellEnd"/>
      <w:r w:rsidRPr="00CC2F02">
        <w:t xml:space="preserve">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Возобновлено производство на ООО «Молоко» и на </w:t>
      </w:r>
      <w:proofErr w:type="spellStart"/>
      <w:r w:rsidRPr="00CC2F02">
        <w:t>Большесолдатском</w:t>
      </w:r>
      <w:proofErr w:type="spellEnd"/>
      <w:r w:rsidRPr="00CC2F02">
        <w:t xml:space="preserve"> маслозаводе; введены в эксплуатацию цеха по переработке молока в Дмитриевском, </w:t>
      </w:r>
      <w:proofErr w:type="spellStart"/>
      <w:r w:rsidRPr="00CC2F02">
        <w:t>Золотухинском</w:t>
      </w:r>
      <w:proofErr w:type="spellEnd"/>
      <w:r w:rsidRPr="00CC2F02">
        <w:t xml:space="preserve">, Октябрьском и </w:t>
      </w:r>
      <w:proofErr w:type="spellStart"/>
      <w:r w:rsidRPr="00CC2F02">
        <w:t>Касторенском</w:t>
      </w:r>
      <w:proofErr w:type="spellEnd"/>
      <w:r w:rsidRPr="00CC2F02">
        <w:t xml:space="preserve"> районах; компанией ООО «Курское молоко» в Курске построено  современное предприятие по переработке молока, компанией «</w:t>
      </w:r>
      <w:proofErr w:type="spellStart"/>
      <w:r w:rsidRPr="00CC2F02">
        <w:t>Милкиленд</w:t>
      </w:r>
      <w:proofErr w:type="spellEnd"/>
      <w:r w:rsidRPr="00CC2F02">
        <w:t xml:space="preserve">» осуществлена модернизация Рыльского </w:t>
      </w:r>
      <w:proofErr w:type="spellStart"/>
      <w:r w:rsidRPr="00CC2F02">
        <w:t>сырзавода</w:t>
      </w:r>
      <w:proofErr w:type="spellEnd"/>
      <w:r w:rsidRPr="00CC2F02">
        <w:t xml:space="preserve">, в ООО 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lastRenderedPageBreak/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физического объема,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lastRenderedPageBreak/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Уровень зарегистрированной безработицы,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C90AB2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</w:t>
      </w:r>
      <w:proofErr w:type="spellStart"/>
      <w:r w:rsidRPr="00CC2F02">
        <w:rPr>
          <w:rFonts w:eastAsiaTheme="minorHAnsi"/>
          <w:lang w:eastAsia="en-US"/>
        </w:rPr>
        <w:t>микрофинансирования</w:t>
      </w:r>
      <w:proofErr w:type="spellEnd"/>
      <w:r w:rsidRPr="00CC2F02">
        <w:rPr>
          <w:rFonts w:eastAsiaTheme="minorHAnsi"/>
          <w:lang w:eastAsia="en-US"/>
        </w:rPr>
        <w:t>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lastRenderedPageBreak/>
        <w:t xml:space="preserve">Осуществлены мероприятия по организации деятельности регионального представительства Евро </w:t>
      </w:r>
      <w:proofErr w:type="spellStart"/>
      <w:r w:rsidRPr="00CC2F02">
        <w:rPr>
          <w:rFonts w:eastAsiaTheme="minorHAnsi"/>
          <w:lang w:eastAsia="en-US"/>
        </w:rPr>
        <w:t>Инфо</w:t>
      </w:r>
      <w:proofErr w:type="spellEnd"/>
      <w:r w:rsidRPr="00CC2F02">
        <w:rPr>
          <w:rFonts w:eastAsiaTheme="minorHAnsi"/>
          <w:lang w:eastAsia="en-US"/>
        </w:rPr>
        <w:t xml:space="preserve">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lastRenderedPageBreak/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</w:t>
      </w:r>
      <w:proofErr w:type="spellStart"/>
      <w:r w:rsidRPr="00CC2F02">
        <w:rPr>
          <w:rFonts w:eastAsiaTheme="minorHAnsi"/>
          <w:lang w:eastAsia="en-US"/>
        </w:rPr>
        <w:t>ТОСПов</w:t>
      </w:r>
      <w:proofErr w:type="spellEnd"/>
      <w:r w:rsidRPr="00CC2F02">
        <w:rPr>
          <w:rFonts w:eastAsiaTheme="minorHAnsi"/>
          <w:lang w:eastAsia="en-US"/>
        </w:rPr>
        <w:t xml:space="preserve">) в сельских (городских) поселениях с численностью населения свыше 1000 человек.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организована работа 141 окна обслуживания населения. При этом перечень услуг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такой же, как и в  филиале МФЦ. В 2015 году в </w:t>
      </w:r>
      <w:proofErr w:type="spellStart"/>
      <w:r w:rsidRPr="00CC2F02">
        <w:rPr>
          <w:rFonts w:eastAsiaTheme="minorHAnsi"/>
          <w:lang w:eastAsia="en-US"/>
        </w:rPr>
        <w:t>ТОСПы</w:t>
      </w:r>
      <w:proofErr w:type="spellEnd"/>
      <w:r w:rsidRPr="00CC2F02">
        <w:rPr>
          <w:rFonts w:eastAsiaTheme="minorHAnsi"/>
          <w:lang w:eastAsia="en-US"/>
        </w:rPr>
        <w:t xml:space="preserve">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</w:t>
      </w:r>
      <w:proofErr w:type="spellStart"/>
      <w:r w:rsidRPr="00CC2F02">
        <w:t>Пловдивской</w:t>
      </w:r>
      <w:proofErr w:type="spellEnd"/>
      <w:r w:rsidRPr="00CC2F02">
        <w:t xml:space="preserve"> областью Республики Болгария, штатом </w:t>
      </w:r>
      <w:proofErr w:type="spellStart"/>
      <w:r w:rsidRPr="00CC2F02">
        <w:t>Бихар</w:t>
      </w:r>
      <w:proofErr w:type="spellEnd"/>
      <w:r w:rsidRPr="00CC2F02">
        <w:t xml:space="preserve"> Республики Индия, </w:t>
      </w:r>
      <w:proofErr w:type="spellStart"/>
      <w:r w:rsidRPr="00CC2F02">
        <w:t>Акиматом</w:t>
      </w:r>
      <w:proofErr w:type="spellEnd"/>
      <w:r w:rsidRPr="00CC2F02">
        <w:t xml:space="preserve">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</w:t>
      </w:r>
      <w:proofErr w:type="spellStart"/>
      <w:r w:rsidRPr="00CC2F02">
        <w:t>Белкоммунмаш</w:t>
      </w:r>
      <w:proofErr w:type="spellEnd"/>
      <w:r w:rsidRPr="00CC2F02">
        <w:t>» на базе МУП «</w:t>
      </w:r>
      <w:proofErr w:type="spellStart"/>
      <w:r w:rsidRPr="00CC2F02">
        <w:t>Курскэлектротранс</w:t>
      </w:r>
      <w:proofErr w:type="spellEnd"/>
      <w:r w:rsidRPr="00CC2F02">
        <w:t xml:space="preserve">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международном </w:t>
      </w:r>
      <w:proofErr w:type="gramStart"/>
      <w:r w:rsidRPr="00CC2F02">
        <w:t>рынке</w:t>
      </w:r>
      <w:proofErr w:type="gramEnd"/>
      <w:r w:rsidRPr="00CC2F02">
        <w:t xml:space="preserve"> является Курская </w:t>
      </w:r>
      <w:proofErr w:type="spellStart"/>
      <w:r w:rsidRPr="00CC2F02">
        <w:t>Коренская</w:t>
      </w:r>
      <w:proofErr w:type="spellEnd"/>
      <w:r w:rsidRPr="00CC2F02">
        <w:t xml:space="preserve"> ярмарка, количество гостей и участников которой в 2015 году превысило 6 тысяч человек из 40 </w:t>
      </w:r>
      <w:r w:rsidRPr="00CC2F02">
        <w:lastRenderedPageBreak/>
        <w:t>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CC2F02">
        <w:t>Россотрудничества</w:t>
      </w:r>
      <w:proofErr w:type="spellEnd"/>
      <w:r w:rsidRPr="00CC2F02">
        <w:t>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</w:t>
      </w:r>
      <w:proofErr w:type="spellStart"/>
      <w:r w:rsidRPr="00CC2F02">
        <w:t>Россотрудничества</w:t>
      </w:r>
      <w:proofErr w:type="spellEnd"/>
      <w:r w:rsidRPr="00CC2F02">
        <w:t xml:space="preserve">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CC2F02">
        <w:t>бизнес-структур</w:t>
      </w:r>
      <w:proofErr w:type="spellEnd"/>
      <w:r w:rsidRPr="00CC2F02">
        <w:t xml:space="preserve">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Сотрудничество развивалось в следующих сферах деятельности: </w:t>
      </w:r>
      <w:r w:rsidRPr="00CC2F02">
        <w:lastRenderedPageBreak/>
        <w:t>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C90AB2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lastRenderedPageBreak/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государственной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отсутствие </w:t>
      </w:r>
      <w:proofErr w:type="gramStart"/>
      <w:r w:rsidRPr="00CC2F02">
        <w:t>подготовленной</w:t>
      </w:r>
      <w:proofErr w:type="gramEnd"/>
      <w:r w:rsidRPr="00CC2F02">
        <w:t xml:space="preserve">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</w:t>
      </w:r>
      <w:proofErr w:type="gramStart"/>
      <w:r w:rsidRPr="00CC2F02">
        <w:t>уровне</w:t>
      </w:r>
      <w:proofErr w:type="gramEnd"/>
      <w:r w:rsidRPr="00CC2F02">
        <w:t>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proofErr w:type="gramStart"/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  <w:proofErr w:type="gramEnd"/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spellStart"/>
      <w:r w:rsidRPr="00CC2F02">
        <w:t>моноструктурный</w:t>
      </w:r>
      <w:proofErr w:type="spellEnd"/>
      <w:r w:rsidRPr="00CC2F02">
        <w:t xml:space="preserve">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неблагоприятная внешнеэкономическая конъюнктура, которая привела к необходимости переориентирования региональных производителей на </w:t>
      </w:r>
      <w:proofErr w:type="gramStart"/>
      <w:r w:rsidRPr="00CC2F02">
        <w:t>внутренний</w:t>
      </w:r>
      <w:proofErr w:type="gramEnd"/>
      <w:r w:rsidRPr="00CC2F02">
        <w:t xml:space="preserve">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проведение рекламно-представительской работы в других странах путем участия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различного</w:t>
      </w:r>
      <w:proofErr w:type="gramEnd"/>
      <w:r w:rsidRPr="00CC2F02">
        <w:t xml:space="preserve">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субъектах Российской Федерации сохраняется острая потребность в методических рекомендациях федерального уровня по формированию в регионах </w:t>
      </w:r>
      <w:proofErr w:type="gramStart"/>
      <w:r w:rsidRPr="00CC2F02"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Pr="00CC2F02"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</w:t>
      </w:r>
      <w:r w:rsidRPr="00CC2F02">
        <w:lastRenderedPageBreak/>
        <w:t>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 xml:space="preserve">обеспечение развития и укрепления </w:t>
      </w:r>
      <w:proofErr w:type="spellStart"/>
      <w:r w:rsidRPr="00CC2F02">
        <w:t>торгово</w:t>
      </w:r>
      <w:proofErr w:type="spellEnd"/>
      <w:r w:rsidRPr="00CC2F02">
        <w:t xml:space="preserve"> – экономического, научно-технического и </w:t>
      </w:r>
      <w:proofErr w:type="spellStart"/>
      <w:r w:rsidRPr="00CC2F02">
        <w:t>гуманитарно</w:t>
      </w:r>
      <w:proofErr w:type="spellEnd"/>
      <w:r w:rsidRPr="00CC2F02">
        <w:t xml:space="preserve">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t xml:space="preserve">оказание всестороннего содействия полноценной реализации и адекватному обеспечению прав и свобод соотечественников за рубежом, а </w:t>
      </w:r>
      <w:r w:rsidRPr="00CC2F02">
        <w:lastRenderedPageBreak/>
        <w:t>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 особой экономической зоны промышленно-производственного типа;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lastRenderedPageBreak/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</w:r>
      <w:proofErr w:type="spellStart"/>
      <w:r w:rsidRPr="00B570E6">
        <w:t>Россотрудничество</w:t>
      </w:r>
      <w:proofErr w:type="spellEnd"/>
      <w:r w:rsidRPr="00B570E6">
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достигнут в 2024 году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118,1 % по отношению к 2020 году;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привлечены за 2022-2024 годы четыре резидента особой экономической зоны промышленно-производственного типа;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доля среднесписочной численности работников (без внешних совместителей), занятых у субъектов малого и среднего </w:t>
      </w:r>
      <w:r w:rsidRPr="00B570E6">
        <w:lastRenderedPageBreak/>
        <w:t>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</w:t>
      </w:r>
      <w:r w:rsidR="00A32CA6">
        <w:t>6,3</w:t>
      </w:r>
      <w:r>
        <w:t xml:space="preserve">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2022-2024 годы четырех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B83BC8" w:rsidRPr="00B570E6">
        <w:t>4</w:t>
      </w:r>
      <w:r w:rsidRPr="00B570E6">
        <w:t xml:space="preserve"> году до </w:t>
      </w:r>
      <w:r w:rsidR="002C33BD" w:rsidRPr="00B570E6">
        <w:t>2</w:t>
      </w:r>
      <w:r w:rsidR="00B83BC8" w:rsidRPr="00B570E6">
        <w:t>4,5</w:t>
      </w:r>
      <w:r w:rsidRPr="00B570E6">
        <w:t xml:space="preserve"> процент</w:t>
      </w:r>
      <w:r w:rsidR="00B83BC8" w:rsidRPr="00B570E6">
        <w:t>а</w:t>
      </w:r>
      <w:r w:rsidRPr="00B570E6">
        <w:t>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к 2018</w:t>
      </w:r>
      <w:r w:rsidRPr="00B570E6">
        <w:t xml:space="preserve"> году;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t>обеспечение количества внедренных в Курской области направлений регионального экспортного стандарта 2.0 до 15 единиц в 2024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lastRenderedPageBreak/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1010C0" w:rsidRPr="00B570E6">
        <w:t>4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</w:t>
      </w:r>
      <w:proofErr w:type="gramStart"/>
      <w:r w:rsidRPr="00B570E6">
        <w:t>площадках</w:t>
      </w:r>
      <w:proofErr w:type="gramEnd"/>
      <w:r w:rsidRPr="00B570E6">
        <w:t xml:space="preserve"> </w:t>
      </w:r>
      <w:proofErr w:type="spellStart"/>
      <w:r w:rsidRPr="00B570E6">
        <w:t>Россотрудничества</w:t>
      </w:r>
      <w:proofErr w:type="spellEnd"/>
      <w:r w:rsidRPr="00B570E6">
        <w:t xml:space="preserve">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1010C0" w:rsidRPr="00B570E6">
        <w:t>4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2019-2024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>Достижение поставленной цели 1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lastRenderedPageBreak/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Указанный показатель рассчитывается на основании методики, утверждаемой Министерством </w:t>
      </w:r>
      <w:proofErr w:type="gramStart"/>
      <w:r w:rsidRPr="008B0E2C">
        <w:t>экономического</w:t>
      </w:r>
      <w:proofErr w:type="gramEnd"/>
      <w:r w:rsidRPr="008B0E2C">
        <w:t xml:space="preserve">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Кнз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Кобщ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Кнз</w:t>
      </w:r>
      <w:proofErr w:type="spellEnd"/>
      <w:r w:rsidRPr="00B570E6">
        <w:t xml:space="preserve"> - количество вновь зарегистрированных субъектов малого и среднего предпринимательства (данные Управления </w:t>
      </w:r>
      <w:proofErr w:type="gramStart"/>
      <w:r w:rsidRPr="00B570E6">
        <w:t>федеральной</w:t>
      </w:r>
      <w:proofErr w:type="gramEnd"/>
      <w:r w:rsidRPr="00B570E6">
        <w:t xml:space="preserve">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Кобщ</w:t>
      </w:r>
      <w:proofErr w:type="spellEnd"/>
      <w:r w:rsidRPr="00B570E6">
        <w:t xml:space="preserve">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Чмсп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Чобщая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lastRenderedPageBreak/>
        <w:t>Чмсп</w:t>
      </w:r>
      <w:proofErr w:type="spellEnd"/>
      <w:r w:rsidRPr="00B570E6">
        <w:t xml:space="preserve">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Чобщая</w:t>
      </w:r>
      <w:proofErr w:type="spellEnd"/>
      <w:r w:rsidRPr="00B570E6">
        <w:t xml:space="preserve">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</w:t>
      </w:r>
      <w:proofErr w:type="spellStart"/>
      <w:r w:rsidRPr="00B570E6">
        <w:rPr>
          <w:sz w:val="24"/>
          <w:szCs w:val="24"/>
        </w:rPr>
        <w:t>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</w:t>
      </w:r>
      <w:proofErr w:type="spellEnd"/>
      <w:r w:rsidRPr="00B570E6">
        <w:rPr>
          <w:sz w:val="24"/>
          <w:szCs w:val="24"/>
        </w:rPr>
        <w:t xml:space="preserve">. = ---------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Ур</w:t>
      </w:r>
      <w:proofErr w:type="gramStart"/>
      <w:r w:rsidRPr="00B570E6">
        <w:t>.у</w:t>
      </w:r>
      <w:proofErr w:type="gramEnd"/>
      <w:r w:rsidRPr="00B570E6">
        <w:t>д</w:t>
      </w:r>
      <w:proofErr w:type="spellEnd"/>
      <w:r w:rsidRPr="00B570E6">
        <w:t>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определение органа исполнительной власти субъекта Российской Федерации, ответственного за развитие </w:t>
      </w:r>
      <w:proofErr w:type="spellStart"/>
      <w:r w:rsidRPr="008B0E2C">
        <w:t>несырьевого</w:t>
      </w:r>
      <w:proofErr w:type="spellEnd"/>
      <w:r w:rsidRPr="008B0E2C">
        <w:t xml:space="preserve">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lastRenderedPageBreak/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</w:t>
      </w:r>
      <w:proofErr w:type="spellStart"/>
      <w:r w:rsidRPr="008B0E2C">
        <w:t>экспортно</w:t>
      </w:r>
      <w:proofErr w:type="spellEnd"/>
      <w:r w:rsidRPr="008B0E2C">
        <w:t xml:space="preserve">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A32CA6" w:rsidRPr="008B0E2C" w:rsidRDefault="00252530" w:rsidP="000820E1">
      <w:pPr>
        <w:ind w:firstLine="709"/>
        <w:jc w:val="both"/>
      </w:pPr>
      <w:r>
        <w:t>Показатель определяется исходя из количества фактически реализованных указанных направлений (инструментов) Регионального экспортного стандарта 2.0.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</w:t>
      </w:r>
      <w:proofErr w:type="gramStart"/>
      <w:r w:rsidR="00F14F74" w:rsidRPr="00B570E6">
        <w:t>G</w:t>
      </w:r>
      <w:proofErr w:type="gramEnd"/>
      <w:r w:rsidR="00F14F74" w:rsidRPr="00B570E6">
        <w:t>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C90AB2" w:rsidP="00F14F74">
      <w:pPr>
        <w:ind w:firstLine="709"/>
        <w:jc w:val="both"/>
      </w:pPr>
      <w: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4.9pt;margin-top:3.35pt;width:7.5pt;height:9.75pt;z-index:251658240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</w:t>
      </w:r>
      <w:proofErr w:type="spellStart"/>
      <w:r w:rsidR="00F14F74" w:rsidRPr="00B570E6">
        <w:t>х</w:t>
      </w:r>
      <w:proofErr w:type="spellEnd"/>
      <w:r w:rsidR="00F14F74" w:rsidRPr="00B570E6">
        <w:t xml:space="preserve">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 xml:space="preserve">Данные показатели рассчитываются на </w:t>
      </w:r>
      <w:proofErr w:type="gramStart"/>
      <w:r w:rsidRPr="00B570E6">
        <w:t>основании</w:t>
      </w:r>
      <w:proofErr w:type="gramEnd"/>
      <w:r w:rsidRPr="00B570E6">
        <w:t xml:space="preserve">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</w:t>
      </w:r>
      <w:proofErr w:type="gramStart"/>
      <w:r w:rsidRPr="00B570E6">
        <w:t>контроля за</w:t>
      </w:r>
      <w:proofErr w:type="gramEnd"/>
      <w:r w:rsidRPr="00B570E6">
        <w:t xml:space="preserve">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</w:t>
      </w:r>
      <w:proofErr w:type="spellStart"/>
      <w:r w:rsidRPr="00B570E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B570E6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C90AB2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lastRenderedPageBreak/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получение информационной и организационной поддержки </w:t>
      </w:r>
      <w:proofErr w:type="spellStart"/>
      <w:r w:rsidRPr="00B570E6">
        <w:t>Россотрудничества</w:t>
      </w:r>
      <w:proofErr w:type="spellEnd"/>
      <w:r w:rsidRPr="00B570E6"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формирование организационной инфраструктуры, обеспечивающей координацию использования РКД и выполнение базовых задач, включая </w:t>
      </w:r>
      <w:r w:rsidRPr="00B570E6">
        <w:lastRenderedPageBreak/>
        <w:t>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транспортными средствами органов государственной власти Курской области, </w:t>
      </w:r>
      <w:r w:rsidRPr="00B570E6">
        <w:lastRenderedPageBreak/>
        <w:t>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информационно-справочного обеспечения транспортного комплекса Курской области, включая приобретение основных сре</w:t>
      </w:r>
      <w:proofErr w:type="gramStart"/>
      <w:r w:rsidRPr="00B570E6">
        <w:t>дств дл</w:t>
      </w:r>
      <w:proofErr w:type="gramEnd"/>
      <w:r w:rsidRPr="00B570E6">
        <w:t xml:space="preserve">я оборудования класса, предназначенного для обучения, разработка примерной программы,  методики и  </w:t>
      </w:r>
      <w:proofErr w:type="spellStart"/>
      <w:r w:rsidRPr="00B570E6">
        <w:t>учебно</w:t>
      </w:r>
      <w:proofErr w:type="spellEnd"/>
      <w:r w:rsidRPr="00B570E6">
        <w:t xml:space="preserve">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>обеспечение деятельности и выполнение функций комитета по экономике и развитию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C90AB2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Pr="008B0E2C" w:rsidRDefault="000820E1" w:rsidP="000820E1">
      <w:pPr>
        <w:ind w:firstLine="709"/>
        <w:jc w:val="both"/>
      </w:pPr>
      <w:proofErr w:type="gramStart"/>
      <w:r w:rsidRPr="008B0E2C">
        <w:lastRenderedPageBreak/>
        <w:t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резидентам особой экономической зоны.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01.12.2011 </w:t>
      </w:r>
      <w:r w:rsidR="007E59ED" w:rsidRPr="00CC2F02">
        <w:t>№</w:t>
      </w:r>
      <w:r w:rsidRPr="00CC2F02">
        <w:t xml:space="preserve"> 651-па </w:t>
      </w:r>
      <w:r w:rsidR="007E59ED" w:rsidRPr="00CC2F02">
        <w:t>«</w:t>
      </w:r>
      <w:r w:rsidRPr="00CC2F02">
        <w:t>О сводном перечне государственных услуг и функций по осуществлению государственного контроля и надзора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заключение областным бюджетным учреждением </w:t>
      </w:r>
      <w:r w:rsidR="007E59ED" w:rsidRPr="00CC2F02">
        <w:t>«</w:t>
      </w:r>
      <w:r w:rsidRPr="00CC2F02">
        <w:t xml:space="preserve">Многофункциональный центр предоставления государственных и </w:t>
      </w:r>
      <w:r w:rsidRPr="00CC2F02">
        <w:lastRenderedPageBreak/>
        <w:t>муниципальных услуг</w:t>
      </w:r>
      <w:r w:rsidR="007E59ED" w:rsidRPr="00CC2F02">
        <w:t>»</w:t>
      </w:r>
      <w:r w:rsidRPr="00CC2F02">
        <w:t xml:space="preserve"> соглашений о взаимодействии с территориальными органами федеральной исполнительной власти, органами исполнительной власти Курской области, органами местного самоуправления в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Инструменты </w:t>
      </w:r>
      <w:proofErr w:type="spellStart"/>
      <w:r w:rsidRPr="00CC2F02">
        <w:t>таможенно-тарифного</w:t>
      </w:r>
      <w:proofErr w:type="spellEnd"/>
      <w:r w:rsidRPr="00CC2F02">
        <w:t xml:space="preserve">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</w:t>
      </w:r>
      <w:proofErr w:type="spellStart"/>
      <w:r w:rsidRPr="00CC2F02">
        <w:t>геоинформационных</w:t>
      </w:r>
      <w:proofErr w:type="spellEnd"/>
      <w:r w:rsidRPr="00CC2F02">
        <w:t xml:space="preserve">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заключение Администрацией Курской области соглашений о взаимодействии с территориальными органами федеральной </w:t>
      </w:r>
      <w:r w:rsidRPr="00CC2F02">
        <w:lastRenderedPageBreak/>
        <w:t>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0820E1" w:rsidRPr="008B0E2C" w:rsidRDefault="000820E1" w:rsidP="000820E1">
      <w:pPr>
        <w:ind w:firstLine="709"/>
        <w:jc w:val="both"/>
      </w:pPr>
      <w:r w:rsidRPr="008B0E2C">
        <w:t>В рамках подпрограммы 1 «Создание благоприятных условий для привлечения инвестиций в экономику Курской области» оказание государственных услуг осуществляет автономное учреждение Курской области «Корпорация развития Курской области»</w:t>
      </w:r>
      <w:r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</w:t>
      </w:r>
      <w:proofErr w:type="spellStart"/>
      <w:r w:rsidRPr="00CC2F02">
        <w:t>Коренская</w:t>
      </w:r>
      <w:proofErr w:type="spellEnd"/>
      <w:r w:rsidRPr="00CC2F02">
        <w:t xml:space="preserve"> ярмарка» и областное бюджетное учреждение «</w:t>
      </w:r>
      <w:proofErr w:type="spellStart"/>
      <w:r w:rsidRPr="00CC2F02">
        <w:t>Курскконтролькачества</w:t>
      </w:r>
      <w:proofErr w:type="spellEnd"/>
      <w:r w:rsidRPr="00CC2F02">
        <w:t xml:space="preserve">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областное бюджетное учреждение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(ОБУ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</w:t>
      </w:r>
      <w:proofErr w:type="spellStart"/>
      <w:r w:rsidRPr="00CC2F02">
        <w:t>софинансирование</w:t>
      </w:r>
      <w:proofErr w:type="spellEnd"/>
      <w:r w:rsidRPr="00CC2F02">
        <w:t xml:space="preserve">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</w:t>
      </w:r>
      <w:r w:rsidRPr="00CC2F02">
        <w:lastRenderedPageBreak/>
        <w:t>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6" w:history="1">
        <w:r w:rsidRPr="00CC2F02">
          <w:t>подпрограммы 1</w:t>
        </w:r>
      </w:hyperlink>
      <w:r w:rsidRPr="00CC2F02">
        <w:t xml:space="preserve"> </w:t>
      </w:r>
      <w:r w:rsidR="00E07BEC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E07BEC" w:rsidRPr="00CC2F02">
        <w:t>»</w:t>
      </w:r>
      <w:r w:rsidRPr="00CC2F02">
        <w:t xml:space="preserve"> мероприятия подпрограммы планируется реализовывать с участием АО </w:t>
      </w:r>
      <w:r w:rsidR="00E07BEC" w:rsidRPr="00CC2F02">
        <w:t>«</w:t>
      </w:r>
      <w:r w:rsidRPr="00CC2F02">
        <w:t>Агентство по привлечению инвестиций Курской области</w:t>
      </w:r>
      <w:r w:rsidR="00E07BEC" w:rsidRPr="00CC2F02">
        <w:t>»</w:t>
      </w:r>
      <w:r w:rsidR="000820E1">
        <w:t xml:space="preserve">, АУ </w:t>
      </w:r>
      <w:proofErr w:type="gramStart"/>
      <w:r w:rsidR="000820E1">
        <w:t>КО</w:t>
      </w:r>
      <w:proofErr w:type="gramEnd"/>
      <w:r w:rsidR="000820E1">
        <w:t xml:space="preserve"> «Корпорация развития Курской области»</w:t>
      </w:r>
      <w:r w:rsidRPr="00CC2F02">
        <w:t xml:space="preserve">, ОБУК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автономное учреждение Курской области </w:t>
      </w:r>
      <w:r w:rsidR="00E07BEC" w:rsidRPr="00CC2F02">
        <w:t>«</w:t>
      </w:r>
      <w:r w:rsidRPr="00CC2F02">
        <w:t xml:space="preserve">Телевизионная и радиовещательная компания </w:t>
      </w:r>
      <w:r w:rsidR="00E07BEC" w:rsidRPr="00CC2F02">
        <w:t>«</w:t>
      </w:r>
      <w:r w:rsidRPr="00CC2F02">
        <w:t>Сейм</w:t>
      </w:r>
      <w:r w:rsidR="00E07BEC" w:rsidRPr="00CC2F02">
        <w:t>»</w:t>
      </w:r>
      <w:r w:rsidRPr="00CC2F02">
        <w:t>;</w:t>
      </w:r>
    </w:p>
    <w:p w:rsidR="002840E9" w:rsidRPr="002840E9" w:rsidRDefault="002840E9" w:rsidP="002840E9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для реализации мероприятий по проведению ежегодной межрегиональной универсальной оптово-розничной Курской </w:t>
      </w:r>
      <w:proofErr w:type="spellStart"/>
      <w:r w:rsidRPr="00CC2F02">
        <w:t>Коренской</w:t>
      </w:r>
      <w:proofErr w:type="spellEnd"/>
      <w:r w:rsidRPr="00CC2F02">
        <w:t xml:space="preserve"> ярмарки привлекаются: областное бюджетное учреждение </w:t>
      </w:r>
      <w:r w:rsidR="00E07BEC" w:rsidRPr="00CC2F02">
        <w:t>«</w:t>
      </w:r>
      <w:r w:rsidRPr="00CC2F02">
        <w:t xml:space="preserve">Выставочный центр </w:t>
      </w:r>
      <w:r w:rsidR="00E07BEC" w:rsidRPr="00CC2F02">
        <w:t>«</w:t>
      </w:r>
      <w:r w:rsidRPr="00CC2F02">
        <w:t xml:space="preserve">Курская </w:t>
      </w:r>
      <w:proofErr w:type="spellStart"/>
      <w:r w:rsidRPr="00CC2F02">
        <w:t>Коренская</w:t>
      </w:r>
      <w:proofErr w:type="spellEnd"/>
      <w:r w:rsidRPr="00CC2F02">
        <w:t xml:space="preserve"> ярмарка</w:t>
      </w:r>
      <w:r w:rsidR="00E07BEC" w:rsidRPr="00CC2F02">
        <w:t>»</w:t>
      </w:r>
      <w:r w:rsidRPr="00CC2F02">
        <w:t xml:space="preserve">, областное бюджетное образовательное учреждение дополнительного образования детей </w:t>
      </w:r>
      <w:r w:rsidR="00E07BEC" w:rsidRPr="00CC2F02">
        <w:t>«</w:t>
      </w:r>
      <w:r w:rsidRPr="00CC2F02">
        <w:t>Областной центр творческого развития и гуманитарного образования детей и учащейся молодежи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proofErr w:type="spellStart"/>
      <w:r w:rsidRPr="00CC2F02">
        <w:t>Экоцентр</w:t>
      </w:r>
      <w:proofErr w:type="spellEnd"/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>, областное бюджетное учреждение</w:t>
      </w:r>
      <w:proofErr w:type="gramEnd"/>
      <w:r w:rsidRPr="00CC2F02">
        <w:t xml:space="preserve"> культуры </w:t>
      </w:r>
      <w:r w:rsidR="00E07BEC" w:rsidRPr="00CC2F02">
        <w:t>«</w:t>
      </w:r>
      <w:r w:rsidRPr="00CC2F02">
        <w:t>Курский Дом народного творчества</w:t>
      </w:r>
      <w:r w:rsidR="00E07BEC" w:rsidRPr="00CC2F02">
        <w:t>»</w:t>
      </w:r>
      <w:r w:rsidRPr="00CC2F02">
        <w:t xml:space="preserve">, областное бюджетное </w:t>
      </w:r>
      <w:r w:rsidRPr="00CC2F02">
        <w:lastRenderedPageBreak/>
        <w:t xml:space="preserve">учреждение культуры </w:t>
      </w:r>
      <w:r w:rsidR="00E07BEC" w:rsidRPr="00CC2F02">
        <w:t>«</w:t>
      </w:r>
      <w:r w:rsidRPr="00CC2F02">
        <w:t>Курский государственный музей археологии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государственный театр кукол</w:t>
      </w:r>
      <w:r w:rsidR="00E07BEC" w:rsidRPr="00CC2F02">
        <w:t>»</w:t>
      </w:r>
      <w:r w:rsidRPr="00CC2F02">
        <w:t xml:space="preserve">, областное бюджетное образовательное учреждение среднего профессионального образования </w:t>
      </w:r>
      <w:r w:rsidR="00E07BEC" w:rsidRPr="00CC2F02">
        <w:t>«</w:t>
      </w:r>
      <w:r w:rsidRPr="00CC2F02">
        <w:t>Курский колледж культуры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Гараж комитета по культуре</w:t>
      </w:r>
      <w:r w:rsidR="00E07BEC" w:rsidRPr="00CC2F02">
        <w:t>»</w:t>
      </w:r>
      <w:r w:rsidRPr="00CC2F02">
        <w:t xml:space="preserve">, областное казенное учреждение </w:t>
      </w:r>
      <w:r w:rsidR="00E07BEC" w:rsidRPr="00CC2F02">
        <w:t>«</w:t>
      </w:r>
      <w:r w:rsidRPr="00CC2F02">
        <w:t>Гараж Администрации Курской области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</w:t>
      </w:r>
      <w:proofErr w:type="spellStart"/>
      <w:r w:rsidRPr="00CC2F02">
        <w:t>микрофинансирования</w:t>
      </w:r>
      <w:proofErr w:type="spellEnd"/>
      <w:r w:rsidRPr="00CC2F02">
        <w:t xml:space="preserve">; организацию деятельности </w:t>
      </w:r>
      <w:r w:rsidR="00BD1471" w:rsidRPr="00CC2F02">
        <w:t>Центра поддержки экспорта</w:t>
      </w:r>
      <w:r w:rsidRPr="00CC2F02">
        <w:t>, Общественной палаты Уполномоченного по защите прав предпринимателей.</w:t>
      </w:r>
      <w:proofErr w:type="gramEnd"/>
      <w:r w:rsidRPr="00CC2F02">
        <w:t xml:space="preserve"> Участие в данных мероприятий осуществляет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преобразованное в 2015 году в Ассоциацию «Центр поддержки предпринимательства – </w:t>
      </w:r>
      <w:proofErr w:type="spellStart"/>
      <w:r w:rsidR="003C3BDD" w:rsidRPr="00CC2F02">
        <w:t>микрофинансовая</w:t>
      </w:r>
      <w:proofErr w:type="spellEnd"/>
      <w:r w:rsidR="003C3BDD" w:rsidRPr="00CC2F02">
        <w:t xml:space="preserve"> организация Курской области</w:t>
      </w:r>
      <w:r w:rsidR="00BD1471" w:rsidRPr="00CC2F02">
        <w:t xml:space="preserve"> (переименована в 2016 году в Ассоциацию </w:t>
      </w:r>
      <w:proofErr w:type="spellStart"/>
      <w:r w:rsidR="00BD1471" w:rsidRPr="00CC2F02">
        <w:t>микрокредитную</w:t>
      </w:r>
      <w:proofErr w:type="spellEnd"/>
      <w:r w:rsidR="00BD1471" w:rsidRPr="00CC2F02">
        <w:t xml:space="preserve"> компанию «Центр поддержки предпринимательства Курской области»)</w:t>
      </w:r>
      <w:r w:rsidR="003C3BDD" w:rsidRPr="00CC2F02">
        <w:t>.</w:t>
      </w:r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8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9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</w:t>
      </w:r>
      <w:r w:rsidRPr="00CC2F02">
        <w:lastRenderedPageBreak/>
        <w:t>организаций, а также государственных внебюджетных фондов в 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 xml:space="preserve">«О реализации в Курской области </w:t>
      </w:r>
      <w:proofErr w:type="spellStart"/>
      <w:r w:rsidRPr="00CC2F02">
        <w:rPr>
          <w:bCs/>
        </w:rPr>
        <w:t>пилотного</w:t>
      </w:r>
      <w:proofErr w:type="spellEnd"/>
      <w:r w:rsidRPr="00CC2F02">
        <w:rPr>
          <w:bCs/>
        </w:rPr>
        <w:t xml:space="preserve">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создании региональной информационно-навигационной системы путем инвестирования в рамках </w:t>
      </w:r>
      <w:proofErr w:type="spellStart"/>
      <w:r w:rsidRPr="00CC2F02">
        <w:t>частно-государственного</w:t>
      </w:r>
      <w:proofErr w:type="spellEnd"/>
      <w:r w:rsidRPr="00CC2F02">
        <w:t xml:space="preserve">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1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2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3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4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5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lastRenderedPageBreak/>
        <w:t xml:space="preserve">5. </w:t>
      </w:r>
      <w:r w:rsidR="007E59ED" w:rsidRPr="00CC2F02">
        <w:t>«</w:t>
      </w:r>
      <w:hyperlink r:id="rId56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7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8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2014 - 2024 годах составляет</w:t>
      </w:r>
      <w:r w:rsidR="00026B39">
        <w:t xml:space="preserve"> </w:t>
      </w:r>
      <w:r w:rsidR="00207F6C">
        <w:t>6</w:t>
      </w:r>
      <w:r w:rsidR="00252530">
        <w:t> 238 254,238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</w:t>
      </w:r>
      <w:r w:rsidR="00252530">
        <w:t>60 791,394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207F6C">
        <w:t>54</w:t>
      </w:r>
      <w:r w:rsidR="00026B39">
        <w:t>5 348,030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026B39">
        <w:t>602 724,727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B50579">
        <w:t>567 988,831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lastRenderedPageBreak/>
        <w:t>Общий объем средств федерального бюджета на реализацию мероприятий программы в 2014 - 2024 годах составляет 1</w:t>
      </w:r>
      <w:r w:rsidR="00B50579">
        <w:t> 341 411,482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70 205,800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B50579">
        <w:t>91 601,300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B50579">
        <w:t>61 227,000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>в 2014 - 2024 годах составляет                                 4</w:t>
      </w:r>
      <w:r w:rsidR="00252530">
        <w:t> </w:t>
      </w:r>
      <w:r w:rsidR="00026B39">
        <w:t>7</w:t>
      </w:r>
      <w:r w:rsidR="00252530">
        <w:t>98 861,866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6</w:t>
      </w:r>
      <w:r w:rsidR="00252530">
        <w:t>91 663,394</w:t>
      </w:r>
      <w:r w:rsidR="00026B39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207F6C">
        <w:t>47</w:t>
      </w:r>
      <w:r w:rsidR="00026B39">
        <w:t>5 142,230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207F6C">
        <w:t>5</w:t>
      </w:r>
      <w:r w:rsidR="00026B39">
        <w:t>11 123,427</w:t>
      </w:r>
      <w:r w:rsidRPr="00CC0B3D">
        <w:t xml:space="preserve"> тыс. рублей</w:t>
      </w:r>
      <w:r>
        <w:t>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2024 год – 506 761,831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2014 - 2024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2014 - 2024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9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60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lastRenderedPageBreak/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</w:t>
      </w:r>
      <w:r w:rsidRPr="00CC2F02">
        <w:lastRenderedPageBreak/>
        <w:t>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повышение квалификации и </w:t>
            </w:r>
            <w:r w:rsidRPr="00CC2F02">
              <w:lastRenderedPageBreak/>
              <w:t>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lastRenderedPageBreak/>
              <w:t xml:space="preserve">- недостаточная гибкость и </w:t>
            </w:r>
            <w:proofErr w:type="spellStart"/>
            <w:r w:rsidRPr="00CC2F02">
              <w:t>адаптируемость</w:t>
            </w:r>
            <w:proofErr w:type="spellEnd"/>
            <w:r w:rsidRPr="00CC2F02">
              <w:t xml:space="preserve">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lastRenderedPageBreak/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методов прогнозирования социально-</w:t>
            </w:r>
            <w:r w:rsidRPr="00CC2F02">
              <w:lastRenderedPageBreak/>
              <w:t xml:space="preserve">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</w:t>
            </w:r>
            <w:r w:rsidRPr="00CC2F02">
              <w:lastRenderedPageBreak/>
              <w:t>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lastRenderedPageBreak/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СРм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Мв</w:t>
      </w:r>
      <w:proofErr w:type="spellEnd"/>
      <w:r w:rsidRPr="00CC2F02">
        <w:rPr>
          <w:sz w:val="24"/>
          <w:szCs w:val="24"/>
        </w:rPr>
        <w:t xml:space="preserve">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СРм</w:t>
      </w:r>
      <w:proofErr w:type="spellEnd"/>
      <w:r w:rsidRPr="00CC2F02">
        <w:t xml:space="preserve">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Мв</w:t>
      </w:r>
      <w:proofErr w:type="spellEnd"/>
      <w:r w:rsidRPr="00CC2F02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 xml:space="preserve">. В том случае, когда для описания результатов реализации мероприятия используется несколько показателей (индикаторов), для оценки степени реализации </w:t>
      </w:r>
      <w:r w:rsidRPr="00CC2F02">
        <w:lastRenderedPageBreak/>
        <w:t>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 xml:space="preserve">по иным мероприятиям результаты реализации могут оцениваться как наступление или </w:t>
      </w:r>
      <w:proofErr w:type="spellStart"/>
      <w:r w:rsidRPr="00CC2F02">
        <w:t>ненаступление</w:t>
      </w:r>
      <w:proofErr w:type="spellEnd"/>
      <w:r w:rsidRPr="00CC2F02"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ф</w:t>
      </w:r>
      <w:proofErr w:type="spellEnd"/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п</w:t>
      </w:r>
      <w:proofErr w:type="spellEnd"/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</w:t>
      </w:r>
      <w:r w:rsidRPr="00CC2F02">
        <w:lastRenderedPageBreak/>
        <w:t>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lastRenderedPageBreak/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  <w:vertAlign w:val="subscript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пф</w:t>
      </w:r>
      <w:proofErr w:type="spellEnd"/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</w:t>
      </w:r>
      <w:proofErr w:type="spellEnd"/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proofErr w:type="gramStart"/>
      <w:r w:rsidRPr="00CC2F02">
        <w:rPr>
          <w:vertAlign w:val="subscript"/>
        </w:rPr>
        <w:t>п</w:t>
      </w:r>
      <w:proofErr w:type="spellEnd"/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 использовании данной формулы в случаях, если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больше 1, значение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proofErr w:type="gramStart"/>
      <w:r w:rsidRPr="00872EEA">
        <w:rPr>
          <w:sz w:val="24"/>
          <w:szCs w:val="24"/>
          <w:vertAlign w:val="subscript"/>
        </w:rPr>
        <w:t>п</w:t>
      </w:r>
      <w:proofErr w:type="spellEnd"/>
      <w:proofErr w:type="gram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СР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x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Э</w:t>
      </w:r>
      <w:r w:rsidRPr="00872EEA">
        <w:rPr>
          <w:sz w:val="24"/>
          <w:szCs w:val="24"/>
          <w:vertAlign w:val="subscript"/>
        </w:rPr>
        <w:t>ис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</w:t>
      </w:r>
      <w:r w:rsidRPr="00872EEA">
        <w:rPr>
          <w:vertAlign w:val="subscript"/>
        </w:rPr>
        <w:t>ис</w:t>
      </w:r>
      <w:proofErr w:type="spellEnd"/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15. Эффективность реализации подпрограммы признается высокой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средней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гпф</w:t>
      </w:r>
      <w:proofErr w:type="spellEnd"/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гпп</w:t>
      </w:r>
      <w:proofErr w:type="spellEnd"/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гп</w:t>
      </w:r>
      <w:proofErr w:type="spellEnd"/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 xml:space="preserve">При использовании данной формулы, в случае если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больше 1, значение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ЭРгп</w:t>
      </w:r>
      <w:proofErr w:type="spellEnd"/>
      <w:r w:rsidRPr="00872EEA">
        <w:rPr>
          <w:sz w:val="24"/>
          <w:szCs w:val="24"/>
        </w:rPr>
        <w:t xml:space="preserve"> = 0,5 × </w:t>
      </w:r>
      <w:proofErr w:type="spellStart"/>
      <w:r w:rsidRPr="00872EEA">
        <w:rPr>
          <w:sz w:val="24"/>
          <w:szCs w:val="24"/>
        </w:rPr>
        <w:t>СРгп</w:t>
      </w:r>
      <w:proofErr w:type="spellEnd"/>
      <w:r w:rsidRPr="00872EEA">
        <w:rPr>
          <w:sz w:val="24"/>
          <w:szCs w:val="24"/>
        </w:rPr>
        <w:t xml:space="preserve">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</w:t>
      </w:r>
      <w:proofErr w:type="spellStart"/>
      <w:r w:rsidRPr="00872EEA">
        <w:rPr>
          <w:sz w:val="24"/>
          <w:szCs w:val="24"/>
        </w:rPr>
        <w:t>k</w:t>
      </w:r>
      <w:proofErr w:type="spellEnd"/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872EEA">
        <w:t>k</w:t>
      </w:r>
      <w:r w:rsidRPr="00872EEA">
        <w:rPr>
          <w:vertAlign w:val="subscript"/>
        </w:rPr>
        <w:t>j</w:t>
      </w:r>
      <w:proofErr w:type="spellEnd"/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, где </w:t>
      </w:r>
      <w:proofErr w:type="spellStart"/>
      <w:r w:rsidRPr="00872EEA">
        <w:t>Ф</w:t>
      </w:r>
      <w:proofErr w:type="gramStart"/>
      <w:r w:rsidRPr="00872EEA">
        <w:rPr>
          <w:vertAlign w:val="subscript"/>
        </w:rPr>
        <w:t>j</w:t>
      </w:r>
      <w:proofErr w:type="spellEnd"/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20. Эффективность реализации государственной программы признается высокой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8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A6" w:rsidRDefault="00A32CA6" w:rsidP="00975A7A">
      <w:r>
        <w:separator/>
      </w:r>
    </w:p>
  </w:endnote>
  <w:endnote w:type="continuationSeparator" w:id="0">
    <w:p w:rsidR="00A32CA6" w:rsidRDefault="00A32CA6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A6" w:rsidRDefault="00A32CA6" w:rsidP="00975A7A">
      <w:r>
        <w:separator/>
      </w:r>
    </w:p>
  </w:footnote>
  <w:footnote w:type="continuationSeparator" w:id="0">
    <w:p w:rsidR="00A32CA6" w:rsidRDefault="00A32CA6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A32CA6" w:rsidRDefault="00A32CA6">
        <w:pPr>
          <w:pStyle w:val="a6"/>
          <w:jc w:val="center"/>
        </w:pPr>
        <w:fldSimple w:instr=" PAGE   \* MERGEFORMAT ">
          <w:r w:rsidR="00252530">
            <w:rPr>
              <w:noProof/>
            </w:rPr>
            <w:t>42</w:t>
          </w:r>
        </w:fldSimple>
      </w:p>
    </w:sdtContent>
  </w:sdt>
  <w:p w:rsidR="00A32CA6" w:rsidRDefault="00A32C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2530"/>
    <w:rsid w:val="00254C93"/>
    <w:rsid w:val="002579FF"/>
    <w:rsid w:val="0026062F"/>
    <w:rsid w:val="002633AC"/>
    <w:rsid w:val="0027169C"/>
    <w:rsid w:val="002748D3"/>
    <w:rsid w:val="00281381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942EE"/>
    <w:rsid w:val="00394715"/>
    <w:rsid w:val="003A0F70"/>
    <w:rsid w:val="003A1AB1"/>
    <w:rsid w:val="003A728B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3071B"/>
    <w:rsid w:val="004413D6"/>
    <w:rsid w:val="00442F2A"/>
    <w:rsid w:val="00443B92"/>
    <w:rsid w:val="00450CAF"/>
    <w:rsid w:val="00451B2C"/>
    <w:rsid w:val="00453581"/>
    <w:rsid w:val="00456AB9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42DB"/>
    <w:rsid w:val="00546A6C"/>
    <w:rsid w:val="0056183C"/>
    <w:rsid w:val="00566D7A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A05341"/>
    <w:rsid w:val="00A12C9A"/>
    <w:rsid w:val="00A14553"/>
    <w:rsid w:val="00A174CC"/>
    <w:rsid w:val="00A21B51"/>
    <w:rsid w:val="00A32CA6"/>
    <w:rsid w:val="00A37CE8"/>
    <w:rsid w:val="00A44F07"/>
    <w:rsid w:val="00A53241"/>
    <w:rsid w:val="00A619DB"/>
    <w:rsid w:val="00A675D0"/>
    <w:rsid w:val="00A749F2"/>
    <w:rsid w:val="00AB102B"/>
    <w:rsid w:val="00AB2C44"/>
    <w:rsid w:val="00AB7FB8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16F8"/>
    <w:rsid w:val="00C2709F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0AB2"/>
    <w:rsid w:val="00C915F3"/>
    <w:rsid w:val="00C94509"/>
    <w:rsid w:val="00CA3E28"/>
    <w:rsid w:val="00CA3F38"/>
    <w:rsid w:val="00CB2353"/>
    <w:rsid w:val="00CB3DE1"/>
    <w:rsid w:val="00CB412E"/>
    <w:rsid w:val="00CB50C2"/>
    <w:rsid w:val="00CC16ED"/>
    <w:rsid w:val="00CC2F02"/>
    <w:rsid w:val="00CD1ADD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36568"/>
    <w:rsid w:val="00E42E18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51E2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649F9E3HAI" TargetMode="External"/><Relationship Id="rId50" Type="http://schemas.openxmlformats.org/officeDocument/2006/relationships/hyperlink" Target="consultantplus://offline/ref=359AFAA8845612A4510675BA83010FB1058A90E65D7235F4DE3DA70D209F0F2C43D4252CED4EDDC24742FEE3H4I" TargetMode="External"/><Relationship Id="rId55" Type="http://schemas.openxmlformats.org/officeDocument/2006/relationships/hyperlink" Target="consultantplus://offline/ref=359AFAA8845612A4510675BA83010FB1058A90E65D7235F4DE3DA70D209F0F2C43D4252CED4EDDC24742FEE3H4I" TargetMode="External"/><Relationship Id="rId63" Type="http://schemas.openxmlformats.org/officeDocument/2006/relationships/image" Target="media/image4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649F9E3HAI" TargetMode="External"/><Relationship Id="rId58" Type="http://schemas.openxmlformats.org/officeDocument/2006/relationships/hyperlink" Target="consultantplus://offline/ref=359AFAA8845612A4510675BA83010FB1058A90E65D7235F4DE3DA70D209F0F2C43D4252CED4EDDC24748FFE3H2I" TargetMode="External"/><Relationship Id="rId66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6BB7956D55BD0383C7E85B773FAB8162FC5077E9H6I" TargetMode="External"/><Relationship Id="rId57" Type="http://schemas.openxmlformats.org/officeDocument/2006/relationships/hyperlink" Target="consultantplus://offline/ref=A493DD6D2F5A5A6A72084097F806D21BE236DBAEE2BEC6C8B3A30893491443A7456CD6142AB59FC8AD8434j923N" TargetMode="External"/><Relationship Id="rId61" Type="http://schemas.openxmlformats.org/officeDocument/2006/relationships/image" Target="media/image2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7FEE3H2I" TargetMode="External"/><Relationship Id="rId60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5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75BA83010FB1058A90E65D7235F4DE3DA70D209F0F2C43D4252CED4EDDC24740FCE3H3I" TargetMode="External"/><Relationship Id="rId56" Type="http://schemas.openxmlformats.org/officeDocument/2006/relationships/hyperlink" Target="consultantplus://offline/ref=359AFAA8845612A4510675BA83010FB1058A90E65D7235F4DE3DA70D209F0F2C43D4252CED4EDDC24744F9E3HAI" TargetMode="External"/><Relationship Id="rId64" Type="http://schemas.openxmlformats.org/officeDocument/2006/relationships/image" Target="media/image5.wmf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748FF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7FEE3H2I" TargetMode="External"/><Relationship Id="rId59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7" Type="http://schemas.openxmlformats.org/officeDocument/2006/relationships/image" Target="media/image8.wmf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0FCE3H3I" TargetMode="External"/><Relationship Id="rId62" Type="http://schemas.openxmlformats.org/officeDocument/2006/relationships/image" Target="media/image3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3C56B-692B-4231-A18B-3AA0C6F3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52</Pages>
  <Words>18133</Words>
  <Characters>103361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19</cp:revision>
  <cp:lastPrinted>2016-04-01T11:29:00Z</cp:lastPrinted>
  <dcterms:created xsi:type="dcterms:W3CDTF">2019-02-28T13:00:00Z</dcterms:created>
  <dcterms:modified xsi:type="dcterms:W3CDTF">2022-01-11T13:56:00Z</dcterms:modified>
</cp:coreProperties>
</file>